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rFonts w:ascii="Arial" w:cs="Arial" w:eastAsia="Arial" w:hAnsi="Arial"/>
          <w:b/>
          <w:bCs/>
          <w:color w:val="1F4E79"/>
          <w:sz w:val="48"/>
          <w:szCs w:val="48"/>
        </w:rPr>
        <w:t xml:space="preserve">SEAL SERVICE</w:t>
      </w:r>
    </w:p>
    <w:p>
      <w:pPr>
        <w:spacing w:after="120"/>
        <w:jc w:val="center"/>
      </w:pPr>
      <w:r>
        <w:rPr>
          <w:rFonts w:ascii="Arial" w:cs="Arial" w:eastAsia="Arial" w:hAnsi="Arial"/>
          <w:color w:val="2E75B6"/>
          <w:sz w:val="28"/>
          <w:szCs w:val="28"/>
        </w:rPr>
        <w:t xml:space="preserve">Comissária de Despacho e Consultoria Aduaneira</w:t>
      </w:r>
    </w:p>
    <w:p>
      <w:pPr>
        <w:spacing w:after="1440"/>
        <w:jc w:val="center"/>
      </w:pPr>
      <w:r>
        <w:t xml:space="preserve"/>
      </w:r>
    </w:p>
    <w:p>
      <w:pPr>
        <w:spacing w:after="240"/>
        <w:jc w:val="center"/>
      </w:pPr>
      <w:r>
        <w:rPr>
          <w:rFonts w:ascii="Arial" w:cs="Arial" w:eastAsia="Arial" w:hAnsi="Arial"/>
          <w:b/>
          <w:bCs/>
          <w:color w:val="1F4E79"/>
          <w:sz w:val="56"/>
          <w:szCs w:val="56"/>
        </w:rPr>
        <w:t xml:space="preserve">COMPÊNDIO ADUANEIRO</w:t>
      </w:r>
    </w:p>
    <w:p>
      <w:pPr>
        <w:spacing w:after="240"/>
        <w:jc w:val="center"/>
      </w:pPr>
      <w:r>
        <w:rPr>
          <w:rFonts w:ascii="Arial" w:cs="Arial" w:eastAsia="Arial" w:hAnsi="Arial"/>
          <w:b/>
          <w:bCs/>
          <w:color w:val="2E75B6"/>
          <w:sz w:val="36"/>
          <w:szCs w:val="36"/>
        </w:rPr>
        <w:t xml:space="preserve">Manual de Importação — Edição Completa</w:t>
      </w:r>
    </w:p>
    <w:p>
      <w:pPr>
        <w:spacing w:after="1440"/>
        <w:jc w:val="center"/>
      </w:pPr>
      <w:r>
        <w:rPr>
          <w:rFonts w:ascii="Arial" w:cs="Arial" w:eastAsia="Arial" w:hAnsi="Arial"/>
          <w:i/>
          <w:iCs/>
          <w:color w:val="666666"/>
          <w:sz w:val="24"/>
          <w:szCs w:val="24"/>
        </w:rPr>
        <w:t xml:space="preserve">Versão 3 — Abril de 2026</w:t>
      </w:r>
    </w:p>
    <w:p>
      <w:r>
        <w:br w:type="page"/>
      </w:r>
    </w:p>
    <w:p>
      <w:pPr>
        <w:pStyle w:val="Heading1"/>
      </w:pPr>
      <w:r>
        <w:rPr>
          <w:rFonts w:ascii="Arial" w:cs="Arial" w:eastAsia="Arial" w:hAnsi="Arial"/>
          <w:b/>
          <w:bCs/>
          <w:color w:val="1F4E79"/>
          <w:sz w:val="32"/>
          <w:szCs w:val="32"/>
        </w:rP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rPr>
          <w:rFonts w:ascii="Arial" w:cs="Arial" w:eastAsia="Arial" w:hAnsi="Arial"/>
          <w:b/>
          <w:bCs/>
          <w:color w:val="1F4E79"/>
          <w:sz w:val="32"/>
          <w:szCs w:val="32"/>
        </w:rPr>
        <w:t xml:space="preserve">PARTE I — TRIBUTOS INCIDENTES NA IMPORTAÇÃO</w:t>
      </w:r>
    </w:p>
    <w:p>
      <w:pPr>
        <w:pStyle w:val="Heading2"/>
      </w:pPr>
      <w:r>
        <w:rPr>
          <w:rFonts w:ascii="Arial" w:cs="Arial" w:eastAsia="Arial" w:hAnsi="Arial"/>
          <w:b/>
          <w:bCs/>
          <w:color w:val="2E75B6"/>
          <w:sz w:val="28"/>
          <w:szCs w:val="28"/>
        </w:rPr>
        <w:t xml:space="preserve">1.1 Visão Geral da Carga Tributária</w:t>
      </w:r>
    </w:p>
    <w:p>
      <w:pPr>
        <w:spacing w:after="120"/>
        <w:jc w:val="both"/>
      </w:pPr>
      <w:r>
        <w:rPr>
          <w:rFonts w:ascii="Arial" w:cs="Arial" w:eastAsia="Arial" w:hAnsi="Arial"/>
          <w:sz w:val="22"/>
          <w:szCs w:val="22"/>
        </w:rPr>
        <w:t xml:space="preserve">A importação de mercadorias no Brasil está sujeita a um conjunto de tributos federais e estaduais que incidem de forma cumulativa ou não-cumulativa sobre o valor aduaneiro. Conhecer a base de cálculo e a sequência de apuração é essencial para o correto planejamento da operação.</w:t>
      </w:r>
    </w:p>
    <w:p>
      <w:pPr>
        <w:spacing w:after="80"/>
      </w:pPr>
      <w:r>
        <w:t xml:space="preserve"/>
      </w:r>
    </w:p>
    <w:p>
      <w:pPr>
        <w:pStyle w:val="Heading2"/>
      </w:pPr>
      <w:r>
        <w:rPr>
          <w:rFonts w:ascii="Arial" w:cs="Arial" w:eastAsia="Arial" w:hAnsi="Arial"/>
          <w:b/>
          <w:bCs/>
          <w:color w:val="2E75B6"/>
          <w:sz w:val="28"/>
          <w:szCs w:val="28"/>
        </w:rPr>
        <w:t xml:space="preserve">1.2 Imposto de Importação (II)</w:t>
      </w:r>
    </w:p>
    <w:p>
      <w:pPr>
        <w:spacing w:after="120"/>
        <w:jc w:val="both"/>
      </w:pPr>
      <w:r>
        <w:rPr>
          <w:rFonts w:ascii="Arial" w:cs="Arial" w:eastAsia="Arial" w:hAnsi="Arial"/>
          <w:sz w:val="22"/>
          <w:szCs w:val="22"/>
        </w:rPr>
        <w:t xml:space="preserve">O Imposto de Importação é o tributo federal de maior relevância nas operações de importação. Tem função predominantemente extrafiscal (instrumento de política comercial), razão pela qual suas alíquotas podem ser alteradas por ato do Poder Executivo, sem necessidade de lei (CF/88, art. 153, §1º).</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Fato gerador</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Entrada da mercadoria no território aduaneiro (data do registro da DI)</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Base de cálculo</w:t>
            </w:r>
          </w:p>
        </w:tc>
        <w:tc>
          <w:tcPr>
            <w:tcW w:type="dxa" w:w="70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Valor aduaneiro (método CIF até o porto brasileiro)</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Alíquota</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Conforme NCM (TEC/TIPI); varia de 0% a 35% nas importações em geral</w:t>
            </w:r>
          </w:p>
        </w:tc>
      </w:tr>
      <w:tr>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Sujeito passivo</w:t>
            </w:r>
          </w:p>
        </w:tc>
        <w:tc>
          <w:tcPr>
            <w:tcW w:type="dxa" w:w="70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Importador (pessoa física ou jurídica que promove a entrada da mercadoria)</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Pagamento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Antes do desembaraço aduaneiro, via DARF ou débito automático</w:t>
            </w:r>
          </w:p>
        </w:tc>
      </w:tr>
    </w:tbl>
    <w:p>
      <w:pPr>
        <w:spacing w:after="80"/>
      </w:pPr>
      <w:r>
        <w:t xml:space="preserve"/>
      </w:r>
    </w:p>
    <w:p>
      <w:pPr>
        <w:pStyle w:val="Heading2"/>
      </w:pPr>
      <w:r>
        <w:rPr>
          <w:rFonts w:ascii="Arial" w:cs="Arial" w:eastAsia="Arial" w:hAnsi="Arial"/>
          <w:b/>
          <w:bCs/>
          <w:color w:val="2E75B6"/>
          <w:sz w:val="28"/>
          <w:szCs w:val="28"/>
        </w:rPr>
        <w:t xml:space="preserve">1.3 IPI — Imposto sobre Produtos Industrializados</w:t>
      </w:r>
    </w:p>
    <w:p>
      <w:pPr>
        <w:spacing w:after="120"/>
        <w:jc w:val="both"/>
      </w:pPr>
      <w:r>
        <w:rPr>
          <w:rFonts w:ascii="Arial" w:cs="Arial" w:eastAsia="Arial" w:hAnsi="Arial"/>
          <w:sz w:val="22"/>
          <w:szCs w:val="22"/>
        </w:rPr>
        <w:t xml:space="preserve">O IPI incide na importação de produtos industrializados, sendo equiparado à saída do estabelecimento industrial (CF/88, art. 153, IV e §3º; Lei 4.502/1964). A base de cálculo é o valor aduaneiro acrescido do II e das taxas e contribuições exigidas para a entrada no país.</w:t>
      </w:r>
    </w:p>
    <w:p>
      <w:pPr>
        <w:pStyle w:val="ListParagraph"/>
        <w:numPr>
          <w:ilvl w:val="0"/>
          <w:numId w:val="2"/>
        </w:numPr>
        <w:spacing w:after="80"/>
      </w:pPr>
      <w:r>
        <w:rPr>
          <w:rFonts w:ascii="Arial" w:cs="Arial" w:eastAsia="Arial" w:hAnsi="Arial"/>
          <w:sz w:val="22"/>
          <w:szCs w:val="22"/>
        </w:rPr>
        <w:t xml:space="preserve">Base de cálculo: Valor Aduaneiro + II + taxas aduaneiras.</w:t>
      </w:r>
    </w:p>
    <w:p>
      <w:pPr>
        <w:pStyle w:val="ListParagraph"/>
        <w:numPr>
          <w:ilvl w:val="0"/>
          <w:numId w:val="2"/>
        </w:numPr>
        <w:spacing w:after="80"/>
      </w:pPr>
      <w:r>
        <w:rPr>
          <w:rFonts w:ascii="Arial" w:cs="Arial" w:eastAsia="Arial" w:hAnsi="Arial"/>
          <w:sz w:val="22"/>
          <w:szCs w:val="22"/>
        </w:rPr>
        <w:t xml:space="preserve">Alíquota: conforme TIPI; produtos essenciais têm alíquota zero; produtos supérfluos podem chegar a 300%.</w:t>
      </w:r>
    </w:p>
    <w:p>
      <w:pPr>
        <w:pStyle w:val="ListParagraph"/>
        <w:numPr>
          <w:ilvl w:val="0"/>
          <w:numId w:val="2"/>
        </w:numPr>
        <w:spacing w:after="80"/>
      </w:pPr>
      <w:r>
        <w:rPr>
          <w:rFonts w:ascii="Arial" w:cs="Arial" w:eastAsia="Arial" w:hAnsi="Arial"/>
          <w:sz w:val="22"/>
          <w:szCs w:val="22"/>
        </w:rPr>
        <w:t xml:space="preserve">Não se aplica a: produtos não industrializados (agropecuários, minerais em estado bruto) e às hipóteses de isenção da TIPI.</w:t>
      </w:r>
    </w:p>
    <w:p>
      <w:pPr>
        <w:pStyle w:val="ListParagraph"/>
        <w:numPr>
          <w:ilvl w:val="0"/>
          <w:numId w:val="2"/>
        </w:numPr>
        <w:spacing w:after="80"/>
      </w:pPr>
      <w:r>
        <w:rPr>
          <w:rFonts w:ascii="Arial" w:cs="Arial" w:eastAsia="Arial" w:hAnsi="Arial"/>
          <w:sz w:val="22"/>
          <w:szCs w:val="22"/>
        </w:rPr>
        <w:t xml:space="preserve">Não-cumulatividade: o IPI pago na importação gera crédito para industrializadores.</w:t>
      </w:r>
    </w:p>
    <w:p>
      <w:pPr>
        <w:spacing w:after="80"/>
      </w:pPr>
      <w:r>
        <w:t xml:space="preserve"/>
      </w:r>
    </w:p>
    <w:p>
      <w:pPr>
        <w:pStyle w:val="Heading2"/>
      </w:pPr>
      <w:r>
        <w:rPr>
          <w:rFonts w:ascii="Arial" w:cs="Arial" w:eastAsia="Arial" w:hAnsi="Arial"/>
          <w:b/>
          <w:bCs/>
          <w:color w:val="2E75B6"/>
          <w:sz w:val="28"/>
          <w:szCs w:val="28"/>
        </w:rPr>
        <w:t xml:space="preserve">1.4 PIS/COFINS-Importação</w:t>
      </w:r>
    </w:p>
    <w:p>
      <w:pPr>
        <w:spacing w:after="120"/>
        <w:jc w:val="both"/>
      </w:pPr>
      <w:r>
        <w:rPr>
          <w:rFonts w:ascii="Arial" w:cs="Arial" w:eastAsia="Arial" w:hAnsi="Arial"/>
          <w:sz w:val="22"/>
          <w:szCs w:val="22"/>
        </w:rPr>
        <w:t xml:space="preserve">Instituídas pela Lei nº 10.865/2004, incidem sobre a importação de bens e serviços. São contribuições federais destinadas ao financiamento da seguridade social.</w:t>
      </w:r>
    </w:p>
    <w:p>
      <w:pPr>
        <w:pStyle w:val="ListParagraph"/>
        <w:numPr>
          <w:ilvl w:val="0"/>
          <w:numId w:val="2"/>
        </w:numPr>
        <w:spacing w:after="80"/>
      </w:pPr>
      <w:r>
        <w:rPr>
          <w:rFonts w:ascii="Arial" w:cs="Arial" w:eastAsia="Arial" w:hAnsi="Arial"/>
          <w:sz w:val="22"/>
          <w:szCs w:val="22"/>
        </w:rPr>
        <w:t xml:space="preserve">Base de cálculo: Valor Aduaneiro (para bens); ou valor pago/creditado (para serviços).</w:t>
      </w:r>
    </w:p>
    <w:p>
      <w:pPr>
        <w:pStyle w:val="ListParagraph"/>
        <w:numPr>
          <w:ilvl w:val="0"/>
          <w:numId w:val="2"/>
        </w:numPr>
        <w:spacing w:after="80"/>
      </w:pPr>
      <w:r>
        <w:rPr>
          <w:rFonts w:ascii="Arial" w:cs="Arial" w:eastAsia="Arial" w:hAnsi="Arial"/>
          <w:sz w:val="22"/>
          <w:szCs w:val="22"/>
        </w:rPr>
        <w:t xml:space="preserve">Alíquotas gerais: PIS 2,1% + COFINS 9,65% = 11,75% sobre o valor aduaneiro.</w:t>
      </w:r>
    </w:p>
    <w:p>
      <w:pPr>
        <w:pStyle w:val="ListParagraph"/>
        <w:numPr>
          <w:ilvl w:val="0"/>
          <w:numId w:val="2"/>
        </w:numPr>
        <w:spacing w:after="80"/>
      </w:pPr>
      <w:r>
        <w:rPr>
          <w:rFonts w:ascii="Arial" w:cs="Arial" w:eastAsia="Arial" w:hAnsi="Arial"/>
          <w:sz w:val="22"/>
          <w:szCs w:val="22"/>
        </w:rPr>
        <w:t xml:space="preserve">Alíquotas diferenciadas: previstas para produtos farmacêuticos, cosméticos, máquinas e equipamentos — verificar lei específica.</w:t>
      </w:r>
    </w:p>
    <w:p>
      <w:pPr>
        <w:pStyle w:val="ListParagraph"/>
        <w:numPr>
          <w:ilvl w:val="0"/>
          <w:numId w:val="2"/>
        </w:numPr>
        <w:spacing w:after="80"/>
      </w:pPr>
      <w:r>
        <w:rPr>
          <w:rFonts w:ascii="Arial" w:cs="Arial" w:eastAsia="Arial" w:hAnsi="Arial"/>
          <w:sz w:val="22"/>
          <w:szCs w:val="22"/>
        </w:rPr>
        <w:t xml:space="preserve">Direito a crédito: importadores no regime não-cumulativo (Lucro Real) podem apropriar créditos de PIS/COFINS nas importações.</w:t>
      </w:r>
    </w:p>
    <w:p>
      <w:pPr>
        <w:spacing w:after="80"/>
      </w:pPr>
      <w:r>
        <w:t xml:space="preserve"/>
      </w:r>
    </w:p>
    <w:p>
      <w:pPr>
        <w:pStyle w:val="Heading2"/>
      </w:pPr>
      <w:r>
        <w:rPr>
          <w:rFonts w:ascii="Arial" w:cs="Arial" w:eastAsia="Arial" w:hAnsi="Arial"/>
          <w:b/>
          <w:bCs/>
          <w:color w:val="2E75B6"/>
          <w:sz w:val="28"/>
          <w:szCs w:val="28"/>
        </w:rPr>
        <w:t xml:space="preserve">1.5 ICMS na Importação</w:t>
      </w:r>
    </w:p>
    <w:p>
      <w:pPr>
        <w:spacing w:after="120"/>
        <w:jc w:val="both"/>
      </w:pPr>
      <w:r>
        <w:rPr>
          <w:rFonts w:ascii="Arial" w:cs="Arial" w:eastAsia="Arial" w:hAnsi="Arial"/>
          <w:sz w:val="22"/>
          <w:szCs w:val="22"/>
        </w:rPr>
        <w:t xml:space="preserve">O ICMS incide sobre a importação de bens por força do art. 155, §2º, IX, a, da CF/88, conforme a Lei Complementar nº 87/1996 (Lei Kandir) e legislação estadual específica. É de competência dos Estados, recolhido ao Estado onde se localiza o importador (Súmula 661 do STF).</w:t>
      </w:r>
    </w:p>
    <w:p>
      <w:pPr>
        <w:pStyle w:val="ListParagraph"/>
        <w:numPr>
          <w:ilvl w:val="0"/>
          <w:numId w:val="2"/>
        </w:numPr>
        <w:spacing w:after="80"/>
      </w:pPr>
      <w:r>
        <w:rPr>
          <w:rFonts w:ascii="Arial" w:cs="Arial" w:eastAsia="Arial" w:hAnsi="Arial"/>
          <w:sz w:val="22"/>
          <w:szCs w:val="22"/>
        </w:rPr>
        <w:t xml:space="preserve">Base de cálculo: Valor Aduaneiro + II + IPI + PIS/COFINS + despesas aduaneiras, calculado por dentro (o próprio ICMS integra sua base).</w:t>
      </w:r>
    </w:p>
    <w:p>
      <w:pPr>
        <w:pStyle w:val="ListParagraph"/>
        <w:numPr>
          <w:ilvl w:val="0"/>
          <w:numId w:val="2"/>
        </w:numPr>
        <w:spacing w:after="80"/>
      </w:pPr>
      <w:r>
        <w:rPr>
          <w:rFonts w:ascii="Arial" w:cs="Arial" w:eastAsia="Arial" w:hAnsi="Arial"/>
          <w:sz w:val="22"/>
          <w:szCs w:val="22"/>
        </w:rPr>
        <w:t xml:space="preserve">Fórmula: ICMS = [(VA + II + IPI + PIS + COFINS + despesas) / (1 - alíquota ICMS)] × alíquota ICMS.</w:t>
      </w:r>
    </w:p>
    <w:p>
      <w:pPr>
        <w:pStyle w:val="ListParagraph"/>
        <w:numPr>
          <w:ilvl w:val="0"/>
          <w:numId w:val="2"/>
        </w:numPr>
        <w:spacing w:after="80"/>
      </w:pPr>
      <w:r>
        <w:rPr>
          <w:rFonts w:ascii="Arial" w:cs="Arial" w:eastAsia="Arial" w:hAnsi="Arial"/>
          <w:sz w:val="22"/>
          <w:szCs w:val="22"/>
        </w:rPr>
        <w:t xml:space="preserve">Alíquota: varia por estado e NCM; a alíquota geral de SP é 18%; outras UF variam de 12% a 25%.</w:t>
      </w:r>
    </w:p>
    <w:p>
      <w:pPr>
        <w:pStyle w:val="ListParagraph"/>
        <w:numPr>
          <w:ilvl w:val="0"/>
          <w:numId w:val="2"/>
        </w:numPr>
        <w:spacing w:after="80"/>
      </w:pPr>
      <w:r>
        <w:rPr>
          <w:rFonts w:ascii="Arial" w:cs="Arial" w:eastAsia="Arial" w:hAnsi="Arial"/>
          <w:sz w:val="22"/>
          <w:szCs w:val="22"/>
        </w:rPr>
        <w:t xml:space="preserve">Diferencial de alíquota (DIFAL): aplicável quando o destinatário final está em estado diferente do importador.</w:t>
      </w:r>
    </w:p>
    <w:p>
      <w:pPr>
        <w:pBdr>
          <w:left w:val="single" w:color="2E75B6" w:sz="4" w:space="8"/>
        </w:pBdr>
        <w:spacing w:after="120"/>
        <w:ind w:left="360"/>
        <w:jc w:val="both"/>
      </w:pPr>
      <w:r>
        <w:rPr>
          <w:rFonts w:ascii="Arial" w:cs="Arial" w:eastAsia="Arial" w:hAnsi="Arial"/>
          <w:i/>
          <w:iCs/>
          <w:color w:val="444444"/>
          <w:sz w:val="20"/>
          <w:szCs w:val="20"/>
        </w:rPr>
        <w:t xml:space="preserve">O ICMS é o tributo de maior impacto na formação do custo de importação, podendo representar mais de 30% do valor total de tributos. A alíquota "por dentro" eleva sensivelmente o valor real do imposto.</w:t>
      </w:r>
    </w:p>
    <w:p>
      <w:pPr>
        <w:spacing w:after="80"/>
      </w:pPr>
      <w:r>
        <w:t xml:space="preserve"/>
      </w:r>
    </w:p>
    <w:p>
      <w:pPr>
        <w:pStyle w:val="Heading2"/>
      </w:pPr>
      <w:r>
        <w:rPr>
          <w:rFonts w:ascii="Arial" w:cs="Arial" w:eastAsia="Arial" w:hAnsi="Arial"/>
          <w:b/>
          <w:bCs/>
          <w:color w:val="2E75B6"/>
          <w:sz w:val="28"/>
          <w:szCs w:val="28"/>
        </w:rPr>
        <w:t xml:space="preserve">1.6 IOF — Imposto sobre Operações Financeiras</w:t>
      </w:r>
    </w:p>
    <w:p>
      <w:pPr>
        <w:spacing w:after="120"/>
        <w:jc w:val="both"/>
      </w:pPr>
      <w:r>
        <w:rPr>
          <w:rFonts w:ascii="Arial" w:cs="Arial" w:eastAsia="Arial" w:hAnsi="Arial"/>
          <w:sz w:val="22"/>
          <w:szCs w:val="22"/>
        </w:rPr>
        <w:t xml:space="preserve">O IOF incide sobre as operações de câmbio para pagamento de importações. A alíquota é de 0,38% sobre o valor da operação de câmbio (Decreto 6.306/2007, art. 15-B). Para operações de câmbio vinculadas a financiamentos de longo prazo (acima de 180 dias), a alíquota pode ser zero ou reduzida.</w:t>
      </w:r>
    </w:p>
    <w:p>
      <w:pPr>
        <w:spacing w:after="80"/>
      </w:pPr>
      <w:r>
        <w:t xml:space="preserve"/>
      </w:r>
    </w:p>
    <w:p>
      <w:pPr>
        <w:pStyle w:val="Heading2"/>
      </w:pPr>
      <w:r>
        <w:rPr>
          <w:rFonts w:ascii="Arial" w:cs="Arial" w:eastAsia="Arial" w:hAnsi="Arial"/>
          <w:b/>
          <w:bCs/>
          <w:color w:val="2E75B6"/>
          <w:sz w:val="28"/>
          <w:szCs w:val="28"/>
        </w:rPr>
        <w:t xml:space="preserve">1.7 AFRMM — Adicional ao Frete para Renovação da Marinha Mercante</w:t>
      </w:r>
    </w:p>
    <w:p>
      <w:pPr>
        <w:spacing w:after="120"/>
        <w:jc w:val="both"/>
      </w:pPr>
      <w:r>
        <w:rPr>
          <w:rFonts w:ascii="Arial" w:cs="Arial" w:eastAsia="Arial" w:hAnsi="Arial"/>
          <w:sz w:val="22"/>
          <w:szCs w:val="22"/>
        </w:rPr>
        <w:t xml:space="preserve">O AFRMM incide sobre o frete das cargas transportadas por via aquaviária, destinado ao Fundo da Marinha Mercante (FMM). Base legal: Lei nº 10.893/2004.</w:t>
      </w:r>
    </w:p>
    <w:p>
      <w:pPr>
        <w:pStyle w:val="ListParagraph"/>
        <w:numPr>
          <w:ilvl w:val="0"/>
          <w:numId w:val="2"/>
        </w:numPr>
        <w:spacing w:after="80"/>
      </w:pPr>
      <w:r>
        <w:rPr>
          <w:rFonts w:ascii="Arial" w:cs="Arial" w:eastAsia="Arial" w:hAnsi="Arial"/>
          <w:sz w:val="22"/>
          <w:szCs w:val="22"/>
        </w:rPr>
        <w:t xml:space="preserve">Alíquota para navegação de longo curso (importações internacionais): 25% sobre o frete.</w:t>
      </w:r>
    </w:p>
    <w:p>
      <w:pPr>
        <w:pStyle w:val="ListParagraph"/>
        <w:numPr>
          <w:ilvl w:val="0"/>
          <w:numId w:val="2"/>
        </w:numPr>
        <w:spacing w:after="80"/>
      </w:pPr>
      <w:r>
        <w:rPr>
          <w:rFonts w:ascii="Arial" w:cs="Arial" w:eastAsia="Arial" w:hAnsi="Arial"/>
          <w:sz w:val="22"/>
          <w:szCs w:val="22"/>
        </w:rPr>
        <w:t xml:space="preserve">Alíquota para navegação de cabotagem: 8% sobre o frete.</w:t>
      </w:r>
    </w:p>
    <w:p>
      <w:pPr>
        <w:pStyle w:val="ListParagraph"/>
        <w:numPr>
          <w:ilvl w:val="0"/>
          <w:numId w:val="2"/>
        </w:numPr>
        <w:spacing w:after="80"/>
      </w:pPr>
      <w:r>
        <w:rPr>
          <w:rFonts w:ascii="Arial" w:cs="Arial" w:eastAsia="Arial" w:hAnsi="Arial"/>
          <w:sz w:val="22"/>
          <w:szCs w:val="22"/>
        </w:rPr>
        <w:t xml:space="preserve">Base de cálculo: valor do frete internacional até o porto brasileiro.</w:t>
      </w:r>
    </w:p>
    <w:p>
      <w:pPr>
        <w:pStyle w:val="ListParagraph"/>
        <w:numPr>
          <w:ilvl w:val="0"/>
          <w:numId w:val="2"/>
        </w:numPr>
        <w:spacing w:after="80"/>
      </w:pPr>
      <w:r>
        <w:rPr>
          <w:rFonts w:ascii="Arial" w:cs="Arial" w:eastAsia="Arial" w:hAnsi="Arial"/>
          <w:sz w:val="22"/>
          <w:szCs w:val="22"/>
        </w:rPr>
        <w:t xml:space="preserve">Recolhimento: via MERCANTE (sistema eletrônico do MDIC), antes do desembaraço.</w:t>
      </w:r>
    </w:p>
    <w:p>
      <w:pPr>
        <w:spacing w:after="80"/>
      </w:pPr>
      <w:r>
        <w:t xml:space="preserve"/>
      </w:r>
    </w:p>
    <w:p>
      <w:pPr>
        <w:pStyle w:val="Heading2"/>
      </w:pPr>
      <w:r>
        <w:rPr>
          <w:rFonts w:ascii="Arial" w:cs="Arial" w:eastAsia="Arial" w:hAnsi="Arial"/>
          <w:b/>
          <w:bCs/>
          <w:color w:val="2E75B6"/>
          <w:sz w:val="28"/>
          <w:szCs w:val="28"/>
        </w:rPr>
        <w:t xml:space="preserve">1.8 Exemplo de Cálculo — Simulação Prática</w:t>
      </w:r>
    </w:p>
    <w:p>
      <w:pPr>
        <w:spacing w:after="120"/>
        <w:jc w:val="both"/>
      </w:pPr>
      <w:r>
        <w:rPr>
          <w:rFonts w:ascii="Arial" w:cs="Arial" w:eastAsia="Arial" w:hAnsi="Arial"/>
          <w:sz w:val="22"/>
          <w:szCs w:val="22"/>
        </w:rPr>
        <w:t xml:space="preserve">Mercadoria: equipamento industrial, valor CIF = R$ 100.000,00. NCM fictício: II = 14%, IPI = 5%, PIS = 2,1%, COFINS = 9,65%, ICMS (SP) = 18%, AFRMM = 0 (aéreo).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Tributo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Base de Cálculo</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Valor (R$)</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Valor Aduaneiro (CIF)</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100.000,00</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II (14%)</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100.000,00</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14.000,00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IPI (5%)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114.000,00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5.700,00</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PIS-Importação (2,1%)</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100.000,00</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2.100,00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COFINS-Importação (9,65%)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100.000,00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9.650,00</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ICMS-SP (18% por dentro)</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114.000 + PIS + COFINS</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~31.600,00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TOTAL DE TRIBUTOS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~63.050,00</w:t>
            </w:r>
          </w:p>
        </w:tc>
      </w:tr>
      <w:tr>
        <w:tc>
          <w:tcPr>
            <w:tcW w:type="dxa" w:w="468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bCs/>
                <w:sz w:val="20"/>
                <w:szCs w:val="20"/>
              </w:rPr>
              <w:t xml:space="preserve">CUSTO TOTAL DA IMPORTAÇÃO</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w:t>
            </w:r>
          </w:p>
        </w:tc>
        <w:tc>
          <w:tcPr>
            <w:tcW w:type="dxa" w:w="234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~163.050,00</w:t>
            </w:r>
          </w:p>
        </w:tc>
      </w:tr>
    </w:tbl>
    <w:p>
      <w:pPr>
        <w:pBdr>
          <w:left w:val="single" w:color="2E75B6" w:sz="4" w:space="8"/>
        </w:pBdr>
        <w:spacing w:after="120"/>
        <w:ind w:left="360"/>
        <w:jc w:val="both"/>
      </w:pPr>
      <w:r>
        <w:rPr>
          <w:rFonts w:ascii="Arial" w:cs="Arial" w:eastAsia="Arial" w:hAnsi="Arial"/>
          <w:i/>
          <w:iCs/>
          <w:color w:val="444444"/>
          <w:sz w:val="20"/>
          <w:szCs w:val="20"/>
        </w:rPr>
        <w:t xml:space="preserve">Simulação com fins ilustrativos. Os valores reais dependem do NCM exato, alíquota estadual do ICMS, regime tributário do importador e eventuais benefícios fiscais aplicáveis.</w:t>
      </w:r>
    </w:p>
    <w:p>
      <w:pPr>
        <w:spacing w:after="80"/>
      </w:pPr>
      <w:r>
        <w:t xml:space="preserve"/>
      </w:r>
    </w:p>
    <w:p>
      <w:r>
        <w:br w:type="page"/>
      </w:r>
    </w:p>
    <w:p>
      <w:pPr>
        <w:pStyle w:val="Heading1"/>
      </w:pPr>
      <w:r>
        <w:rPr>
          <w:rFonts w:ascii="Arial" w:cs="Arial" w:eastAsia="Arial" w:hAnsi="Arial"/>
          <w:b/>
          <w:bCs/>
          <w:color w:val="1F4E79"/>
          <w:sz w:val="32"/>
          <w:szCs w:val="32"/>
        </w:rPr>
        <w:t xml:space="preserve">PARTE II — INCOTERMS 2020</w:t>
      </w:r>
    </w:p>
    <w:p>
      <w:pPr>
        <w:pStyle w:val="Heading2"/>
      </w:pPr>
      <w:r>
        <w:rPr>
          <w:rFonts w:ascii="Arial" w:cs="Arial" w:eastAsia="Arial" w:hAnsi="Arial"/>
          <w:b/>
          <w:bCs/>
          <w:color w:val="2E75B6"/>
          <w:sz w:val="28"/>
          <w:szCs w:val="28"/>
        </w:rPr>
        <w:t xml:space="preserve">2.1 O que são os Incoterms</w:t>
      </w:r>
    </w:p>
    <w:p>
      <w:pPr>
        <w:spacing w:after="120"/>
        <w:jc w:val="both"/>
      </w:pPr>
      <w:r>
        <w:rPr>
          <w:rFonts w:ascii="Arial" w:cs="Arial" w:eastAsia="Arial" w:hAnsi="Arial"/>
          <w:sz w:val="22"/>
          <w:szCs w:val="22"/>
        </w:rPr>
        <w:t xml:space="preserve">Os Incoterms (International Commercial Terms) são regras internacionais de comércio publicadas pela Câmara de Comércio Internacional (CCI) que definem a divisão de responsabilidades, custos e riscos entre o vendedor (exportador) e o comprador (importador) nas operações de compra e venda internacional. A versão vigente é a Incoterms 2020, que substituiu os Incoterms 2010.</w:t>
      </w:r>
    </w:p>
    <w:p>
      <w:pPr>
        <w:spacing w:after="120"/>
        <w:jc w:val="both"/>
      </w:pPr>
      <w:r>
        <w:rPr>
          <w:rFonts w:ascii="Arial" w:cs="Arial" w:eastAsia="Arial" w:hAnsi="Arial"/>
          <w:sz w:val="22"/>
          <w:szCs w:val="22"/>
        </w:rPr>
        <w:t xml:space="preserve">Os Incoterms são divididos em dois grupos: termos aplicáveis a qualquer modal de transporte (EXW, FCA, CPT, CIP, DAP, DPU, DDP) e termos aplicáveis exclusivamente ao transporte marítimo ou aquaviário (FAS, FOB, CFR, CIF).</w:t>
      </w:r>
    </w:p>
    <w:p>
      <w:pPr>
        <w:spacing w:after="80"/>
      </w:pPr>
      <w:r>
        <w:t xml:space="preserve"/>
      </w:r>
    </w:p>
    <w:p>
      <w:pPr>
        <w:pStyle w:val="Heading2"/>
      </w:pPr>
      <w:r>
        <w:rPr>
          <w:rFonts w:ascii="Arial" w:cs="Arial" w:eastAsia="Arial" w:hAnsi="Arial"/>
          <w:b/>
          <w:bCs/>
          <w:color w:val="2E75B6"/>
          <w:sz w:val="28"/>
          <w:szCs w:val="28"/>
        </w:rPr>
        <w:t xml:space="preserve">2.2 Tabela dos Incoterms 2020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300"/>
        <w:gridCol w:w="2100"/>
        <w:gridCol w:w="90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Sigla</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Nome</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Descrição resumida</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Frete int'l</w:t>
            </w:r>
          </w:p>
        </w:tc>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Risco</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 Works</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 retira na fábrica do vendedor. Máxima responsabilidade do comprador.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FCA</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 Carrier</w:t>
            </w:r>
          </w:p>
        </w:tc>
        <w:tc>
          <w:tcPr>
            <w:tcW w:type="dxa" w:w="3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 entrega ao transportador designado pelo comprador no local combinado.</w:t>
            </w:r>
          </w:p>
        </w:tc>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 Alongside Ship</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 entrega ao lado do navio no porto de embarque. Apenas marítimo.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FOB</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Free On Board</w:t>
            </w:r>
          </w:p>
        </w:tc>
        <w:tc>
          <w:tcPr>
            <w:tcW w:type="dxa" w:w="3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 entrega a bordo do navio. Risco passa quando a mercadoria está a bordo. Apenas marítimo.</w:t>
            </w:r>
          </w:p>
        </w:tc>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CFR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Cost &amp; Freight</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 paga o frete até o porto de destino; risco passa a bordo no embarque. Apenas marítimo.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CIF</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Cost, Insurance &amp; Freight</w:t>
            </w:r>
          </w:p>
        </w:tc>
        <w:tc>
          <w:tcPr>
            <w:tcW w:type="dxa" w:w="3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Como CFR, mas o vendedor também contrata o seguro. Base de cálculo do II no Brasil. Apenas marítimo.</w:t>
            </w:r>
          </w:p>
        </w:tc>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CPT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Carriage Paid To</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 paga o frete até o destino. Risco passa ao comprador na entrega ao transportador.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CIP</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Carriage &amp; Insurance Paid To</w:t>
            </w:r>
          </w:p>
        </w:tc>
        <w:tc>
          <w:tcPr>
            <w:tcW w:type="dxa" w:w="3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Como CPT, mas inclui seguro com cobertura mais ampla (Institute Cargo Clauses A).</w:t>
            </w:r>
          </w:p>
        </w:tc>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Comprador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Delivered at Place</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 entrega no local de destino, sem desembaraço de importação.</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r>
      <w:tr>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DPU</w:t>
            </w:r>
          </w:p>
        </w:tc>
        <w:tc>
          <w:tcPr>
            <w:tcW w:type="dxa" w:w="2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Delivered at Place Unloaded</w:t>
            </w:r>
          </w:p>
        </w:tc>
        <w:tc>
          <w:tcPr>
            <w:tcW w:type="dxa" w:w="33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Como DAP, mas o vendedor também descarrega a mercadoria no destino.</w:t>
            </w:r>
          </w:p>
        </w:tc>
        <w:tc>
          <w:tcPr>
            <w:tcW w:type="dxa" w:w="21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DDP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Delivered Duty Paid</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Máxima responsabilidade do vendedor: entrega com desembaraço e tributos pagos.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Vendedor</w:t>
            </w:r>
          </w:p>
        </w:tc>
      </w:tr>
    </w:tbl>
    <w:p>
      <w:pPr>
        <w:spacing w:after="80"/>
      </w:pPr>
      <w:r>
        <w:t xml:space="preserve"/>
      </w:r>
    </w:p>
    <w:p>
      <w:pPr>
        <w:pBdr>
          <w:left w:val="single" w:color="2E75B6" w:sz="4" w:space="8"/>
        </w:pBdr>
        <w:spacing w:after="120"/>
        <w:ind w:left="360"/>
        <w:jc w:val="both"/>
      </w:pPr>
      <w:r>
        <w:rPr>
          <w:rFonts w:ascii="Arial" w:cs="Arial" w:eastAsia="Arial" w:hAnsi="Arial"/>
          <w:i/>
          <w:iCs/>
          <w:color w:val="444444"/>
          <w:sz w:val="20"/>
          <w:szCs w:val="20"/>
        </w:rPr>
        <w:t xml:space="preserve">Atenção: Para fins de apuração do valor aduaneiro (base do II), a Receita Federal adota a condição CIF como base padrão. Se a importação for contratada em outro Incoterm (ex: FOB), o importador deve acrescentar frete e seguro para chegar ao valor CIF.</w:t>
      </w:r>
    </w:p>
    <w:p>
      <w:pPr>
        <w:spacing w:after="80"/>
      </w:pPr>
      <w:r>
        <w:t xml:space="preserve"/>
      </w:r>
    </w:p>
    <w:p>
      <w:pPr>
        <w:pStyle w:val="Heading2"/>
      </w:pPr>
      <w:r>
        <w:rPr>
          <w:rFonts w:ascii="Arial" w:cs="Arial" w:eastAsia="Arial" w:hAnsi="Arial"/>
          <w:b/>
          <w:bCs/>
          <w:color w:val="2E75B6"/>
          <w:sz w:val="28"/>
          <w:szCs w:val="28"/>
        </w:rPr>
        <w:t xml:space="preserve">2.3 Incoterms e o Valor Aduaneiro</w:t>
      </w:r>
    </w:p>
    <w:p>
      <w:pPr>
        <w:spacing w:after="120"/>
        <w:jc w:val="both"/>
      </w:pPr>
      <w:r>
        <w:rPr>
          <w:rFonts w:ascii="Arial" w:cs="Arial" w:eastAsia="Arial" w:hAnsi="Arial"/>
          <w:sz w:val="22"/>
          <w:szCs w:val="22"/>
        </w:rPr>
        <w:t xml:space="preserve">A relação entre o Incoterm contratado e o valor aduaneiro é direta: o Acordo de Valoração GATT exige que o frete e o seguro internacionais sejam incluídos no valor de transação quando não estiverem já incluídos no preço da fatura (condição CIF até o porto de entrada no Brasil). Portanto:</w:t>
      </w:r>
    </w:p>
    <w:p>
      <w:pPr>
        <w:pStyle w:val="ListParagraph"/>
        <w:numPr>
          <w:ilvl w:val="0"/>
          <w:numId w:val="2"/>
        </w:numPr>
        <w:spacing w:after="80"/>
      </w:pPr>
      <w:r>
        <w:rPr>
          <w:rFonts w:ascii="Arial" w:cs="Arial" w:eastAsia="Arial" w:hAnsi="Arial"/>
          <w:sz w:val="22"/>
          <w:szCs w:val="22"/>
        </w:rPr>
        <w:t xml:space="preserve">CIF: o valor da fatura já é o valor aduaneiro.</w:t>
      </w:r>
    </w:p>
    <w:p>
      <w:pPr>
        <w:pStyle w:val="ListParagraph"/>
        <w:numPr>
          <w:ilvl w:val="0"/>
          <w:numId w:val="2"/>
        </w:numPr>
        <w:spacing w:after="80"/>
      </w:pPr>
      <w:r>
        <w:rPr>
          <w:rFonts w:ascii="Arial" w:cs="Arial" w:eastAsia="Arial" w:hAnsi="Arial"/>
          <w:sz w:val="22"/>
          <w:szCs w:val="22"/>
        </w:rPr>
        <w:t xml:space="preserve">FOB: o importador deve declarar na DI o valor do frete e do seguro separadamente para compor o valor aduaneiro.</w:t>
      </w:r>
    </w:p>
    <w:p>
      <w:pPr>
        <w:pStyle w:val="ListParagraph"/>
        <w:numPr>
          <w:ilvl w:val="0"/>
          <w:numId w:val="2"/>
        </w:numPr>
        <w:spacing w:after="80"/>
      </w:pPr>
      <w:r>
        <w:rPr>
          <w:rFonts w:ascii="Arial" w:cs="Arial" w:eastAsia="Arial" w:hAnsi="Arial"/>
          <w:sz w:val="22"/>
          <w:szCs w:val="22"/>
        </w:rPr>
        <w:t xml:space="preserve">EXW: o importador deve adicionar frete interno no país de origem, frete internacional e seguro.</w:t>
      </w:r>
    </w:p>
    <w:p>
      <w:pPr>
        <w:spacing w:after="80"/>
      </w:pPr>
      <w:r>
        <w:t xml:space="preserve"/>
      </w:r>
    </w:p>
    <w:p>
      <w:r>
        <w:br w:type="page"/>
      </w:r>
    </w:p>
    <w:p>
      <w:pPr>
        <w:pStyle w:val="Heading1"/>
      </w:pPr>
      <w:r>
        <w:rPr>
          <w:rFonts w:ascii="Arial" w:cs="Arial" w:eastAsia="Arial" w:hAnsi="Arial"/>
          <w:b/>
          <w:bCs/>
          <w:color w:val="1F4E79"/>
          <w:sz w:val="32"/>
          <w:szCs w:val="32"/>
        </w:rPr>
        <w:t xml:space="preserve">PARTE III — DOCUMENTOS DE TRANSPORTE INTERNACIONAL</w:t>
      </w:r>
    </w:p>
    <w:p>
      <w:pPr>
        <w:pStyle w:val="Heading2"/>
      </w:pPr>
      <w:r>
        <w:rPr>
          <w:rFonts w:ascii="Arial" w:cs="Arial" w:eastAsia="Arial" w:hAnsi="Arial"/>
          <w:b/>
          <w:bCs/>
          <w:color w:val="2E75B6"/>
          <w:sz w:val="28"/>
          <w:szCs w:val="28"/>
        </w:rPr>
        <w:t xml:space="preserve">3.1 Bill of Lading (BL) — Conhecimento de Embarque Marítimo</w:t>
      </w:r>
    </w:p>
    <w:p>
      <w:pPr>
        <w:spacing w:after="120"/>
        <w:jc w:val="both"/>
      </w:pPr>
      <w:r>
        <w:rPr>
          <w:rFonts w:ascii="Arial" w:cs="Arial" w:eastAsia="Arial" w:hAnsi="Arial"/>
          <w:sz w:val="22"/>
          <w:szCs w:val="22"/>
        </w:rPr>
        <w:t xml:space="preserve">O Bill of Lading (BL) é o documento mais importante do transporte marítimo internacional. É emitido pelo armador ou pelo agente de navegação e cumpre três funções simultâneas: (1) recibo de entrega da mercadoria ao transportador; (2) prova do contrato de transporte; (3) título de crédito (quando ao portador ou à ordem).</w:t>
      </w:r>
    </w:p>
    <w:p>
      <w:pPr>
        <w:pStyle w:val="Heading3"/>
      </w:pPr>
      <w:r>
        <w:rPr>
          <w:rFonts w:ascii="Arial" w:cs="Arial" w:eastAsia="Arial" w:hAnsi="Arial"/>
          <w:b/>
          <w:bCs/>
          <w:color w:val="2E75B6"/>
          <w:sz w:val="24"/>
          <w:szCs w:val="24"/>
        </w:rPr>
        <w:t xml:space="preserve">Tipos de BL:</w:t>
      </w:r>
    </w:p>
    <w:p>
      <w:pPr>
        <w:pStyle w:val="ListParagraph"/>
        <w:numPr>
          <w:ilvl w:val="0"/>
          <w:numId w:val="2"/>
        </w:numPr>
        <w:spacing w:after="80"/>
      </w:pPr>
      <w:r>
        <w:rPr>
          <w:rFonts w:ascii="Arial" w:cs="Arial" w:eastAsia="Arial" w:hAnsi="Arial"/>
          <w:sz w:val="22"/>
          <w:szCs w:val="22"/>
        </w:rPr>
        <w:t xml:space="preserve">BL Original (Negociável): ao portador ou à ordem; necessário para retirada da mercadoria no destino. Emitido em 3 vias originais.</w:t>
      </w:r>
    </w:p>
    <w:p>
      <w:pPr>
        <w:pStyle w:val="ListParagraph"/>
        <w:numPr>
          <w:ilvl w:val="0"/>
          <w:numId w:val="2"/>
        </w:numPr>
        <w:spacing w:after="80"/>
      </w:pPr>
      <w:r>
        <w:rPr>
          <w:rFonts w:ascii="Arial" w:cs="Arial" w:eastAsia="Arial" w:hAnsi="Arial"/>
          <w:sz w:val="22"/>
          <w:szCs w:val="22"/>
        </w:rPr>
        <w:t xml:space="preserve">Seaway Bill (Não-Negociável): dispensa a apresentação do original; a mercadoria é liberada ao consignatário nomeado. Mais ágil, mas sem função de título de crédito.</w:t>
      </w:r>
    </w:p>
    <w:p>
      <w:pPr>
        <w:pStyle w:val="ListParagraph"/>
        <w:numPr>
          <w:ilvl w:val="0"/>
          <w:numId w:val="2"/>
        </w:numPr>
        <w:spacing w:after="80"/>
      </w:pPr>
      <w:r>
        <w:rPr>
          <w:rFonts w:ascii="Arial" w:cs="Arial" w:eastAsia="Arial" w:hAnsi="Arial"/>
          <w:sz w:val="22"/>
          <w:szCs w:val="22"/>
        </w:rPr>
        <w:t xml:space="preserve">Telex Release / Express Release: o exportador instrui o agente no destino a liberar a carga sem a apresentação do BL original. Comum em operações com partes relacionadas ou de confiança.</w:t>
      </w:r>
    </w:p>
    <w:p>
      <w:pPr>
        <w:pStyle w:val="ListParagraph"/>
        <w:numPr>
          <w:ilvl w:val="0"/>
          <w:numId w:val="2"/>
        </w:numPr>
        <w:spacing w:after="80"/>
      </w:pPr>
      <w:r>
        <w:rPr>
          <w:rFonts w:ascii="Arial" w:cs="Arial" w:eastAsia="Arial" w:hAnsi="Arial"/>
          <w:sz w:val="22"/>
          <w:szCs w:val="22"/>
        </w:rPr>
        <w:t xml:space="preserve">House BL (HBL): emitido pelo NVOCC ou freight forwarder; o Master BL é emitido pelo armador.</w:t>
      </w:r>
    </w:p>
    <w:p>
      <w:pPr>
        <w:spacing w:after="80"/>
      </w:pPr>
      <w:r>
        <w:t xml:space="preserve"/>
      </w:r>
    </w:p>
    <w:p>
      <w:pPr>
        <w:pStyle w:val="Heading3"/>
      </w:pPr>
      <w:r>
        <w:rPr>
          <w:rFonts w:ascii="Arial" w:cs="Arial" w:eastAsia="Arial" w:hAnsi="Arial"/>
          <w:b/>
          <w:bCs/>
          <w:color w:val="2E75B6"/>
          <w:sz w:val="24"/>
          <w:szCs w:val="24"/>
        </w:rPr>
        <w:t xml:space="preserve">Dados essenciais do BL:</w:t>
      </w:r>
    </w:p>
    <w:p>
      <w:pPr>
        <w:pStyle w:val="ListParagraph"/>
        <w:numPr>
          <w:ilvl w:val="0"/>
          <w:numId w:val="2"/>
        </w:numPr>
        <w:spacing w:after="80"/>
      </w:pPr>
      <w:r>
        <w:rPr>
          <w:rFonts w:ascii="Arial" w:cs="Arial" w:eastAsia="Arial" w:hAnsi="Arial"/>
          <w:sz w:val="22"/>
          <w:szCs w:val="22"/>
        </w:rPr>
        <w:t xml:space="preserve">Shipper (exportador), Consignee (importador/banco), Notify Party.</w:t>
      </w:r>
    </w:p>
    <w:p>
      <w:pPr>
        <w:pStyle w:val="ListParagraph"/>
        <w:numPr>
          <w:ilvl w:val="0"/>
          <w:numId w:val="2"/>
        </w:numPr>
        <w:spacing w:after="80"/>
      </w:pPr>
      <w:r>
        <w:rPr>
          <w:rFonts w:ascii="Arial" w:cs="Arial" w:eastAsia="Arial" w:hAnsi="Arial"/>
          <w:sz w:val="22"/>
          <w:szCs w:val="22"/>
        </w:rPr>
        <w:t xml:space="preserve">Descrição da mercadoria, quantidade, peso bruto e cubagem.</w:t>
      </w:r>
    </w:p>
    <w:p>
      <w:pPr>
        <w:pStyle w:val="ListParagraph"/>
        <w:numPr>
          <w:ilvl w:val="0"/>
          <w:numId w:val="2"/>
        </w:numPr>
        <w:spacing w:after="80"/>
      </w:pPr>
      <w:r>
        <w:rPr>
          <w:rFonts w:ascii="Arial" w:cs="Arial" w:eastAsia="Arial" w:hAnsi="Arial"/>
          <w:sz w:val="22"/>
          <w:szCs w:val="22"/>
        </w:rPr>
        <w:t xml:space="preserve">Porto de embarque e porto de destino.</w:t>
      </w:r>
    </w:p>
    <w:p>
      <w:pPr>
        <w:pStyle w:val="ListParagraph"/>
        <w:numPr>
          <w:ilvl w:val="0"/>
          <w:numId w:val="2"/>
        </w:numPr>
        <w:spacing w:after="80"/>
      </w:pPr>
      <w:r>
        <w:rPr>
          <w:rFonts w:ascii="Arial" w:cs="Arial" w:eastAsia="Arial" w:hAnsi="Arial"/>
          <w:sz w:val="22"/>
          <w:szCs w:val="22"/>
        </w:rPr>
        <w:t xml:space="preserve">Número do contêiner e lacre (se aplicável).</w:t>
      </w:r>
    </w:p>
    <w:p>
      <w:pPr>
        <w:pStyle w:val="ListParagraph"/>
        <w:numPr>
          <w:ilvl w:val="0"/>
          <w:numId w:val="2"/>
        </w:numPr>
        <w:spacing w:after="80"/>
      </w:pPr>
      <w:r>
        <w:rPr>
          <w:rFonts w:ascii="Arial" w:cs="Arial" w:eastAsia="Arial" w:hAnsi="Arial"/>
          <w:sz w:val="22"/>
          <w:szCs w:val="22"/>
        </w:rPr>
        <w:t xml:space="preserve">Frete: prepaid (pago na origem) ou collect (pago no destino).</w:t>
      </w:r>
    </w:p>
    <w:p>
      <w:pPr>
        <w:pStyle w:val="ListParagraph"/>
        <w:numPr>
          <w:ilvl w:val="0"/>
          <w:numId w:val="2"/>
        </w:numPr>
        <w:spacing w:after="80"/>
      </w:pPr>
      <w:r>
        <w:rPr>
          <w:rFonts w:ascii="Arial" w:cs="Arial" w:eastAsia="Arial" w:hAnsi="Arial"/>
          <w:sz w:val="22"/>
          <w:szCs w:val="22"/>
        </w:rPr>
        <w:t xml:space="preserve">Data de embarque (on board date) — fundamental para controle de câmbio e prazo de LI.</w:t>
      </w:r>
    </w:p>
    <w:p>
      <w:pPr>
        <w:spacing w:after="80"/>
      </w:pPr>
      <w:r>
        <w:t xml:space="preserve"/>
      </w:r>
    </w:p>
    <w:p>
      <w:pPr>
        <w:pStyle w:val="Heading2"/>
      </w:pPr>
      <w:r>
        <w:rPr>
          <w:rFonts w:ascii="Arial" w:cs="Arial" w:eastAsia="Arial" w:hAnsi="Arial"/>
          <w:b/>
          <w:bCs/>
          <w:color w:val="2E75B6"/>
          <w:sz w:val="28"/>
          <w:szCs w:val="28"/>
        </w:rPr>
        <w:t xml:space="preserve">3.2 AWB — Air Waybill (Conhecimento Aéreo)</w:t>
      </w:r>
    </w:p>
    <w:p>
      <w:pPr>
        <w:spacing w:after="120"/>
        <w:jc w:val="both"/>
      </w:pPr>
      <w:r>
        <w:rPr>
          <w:rFonts w:ascii="Arial" w:cs="Arial" w:eastAsia="Arial" w:hAnsi="Arial"/>
          <w:sz w:val="22"/>
          <w:szCs w:val="22"/>
        </w:rPr>
        <w:t xml:space="preserve">O AWB é o documento de transporte do modal aéreo, emitido pela companhia aérea. Não é negociável (não é título de crédito). A mercadoria é liberada diretamente ao consignatário nomeado, o que torna o processo de liberação mais simples e rápido. O HAWB (House Air Waybill) é emitido pelo agente de carga; o MAWB (Master AWB) pela companhia aérea.</w:t>
      </w:r>
    </w:p>
    <w:p>
      <w:pPr>
        <w:spacing w:after="80"/>
      </w:pPr>
      <w:r>
        <w:t xml:space="preserve"/>
      </w:r>
    </w:p>
    <w:p>
      <w:pPr>
        <w:pStyle w:val="Heading2"/>
      </w:pPr>
      <w:r>
        <w:rPr>
          <w:rFonts w:ascii="Arial" w:cs="Arial" w:eastAsia="Arial" w:hAnsi="Arial"/>
          <w:b/>
          <w:bCs/>
          <w:color w:val="2E75B6"/>
          <w:sz w:val="28"/>
          <w:szCs w:val="28"/>
        </w:rPr>
        <w:t xml:space="preserve">3.3 CRT — Conhecimento de Transporte Rodoviário Internacional</w:t>
      </w:r>
    </w:p>
    <w:p>
      <w:pPr>
        <w:spacing w:after="120"/>
        <w:jc w:val="both"/>
      </w:pPr>
      <w:r>
        <w:rPr>
          <w:rFonts w:ascii="Arial" w:cs="Arial" w:eastAsia="Arial" w:hAnsi="Arial"/>
          <w:sz w:val="22"/>
          <w:szCs w:val="22"/>
        </w:rPr>
        <w:t xml:space="preserve">Utilizado no transporte rodoviário internacional, especialmente nas importações dos países do Mercosul (Argentina, Uruguai, Paraguai, Chile, Bolívia). É emitido pela transportadora rodoviária. Não é negociável.</w:t>
      </w:r>
    </w:p>
    <w:p>
      <w:pPr>
        <w:spacing w:after="80"/>
      </w:pPr>
      <w:r>
        <w:t xml:space="preserve"/>
      </w:r>
    </w:p>
    <w:p>
      <w:pPr>
        <w:pStyle w:val="Heading2"/>
      </w:pPr>
      <w:r>
        <w:rPr>
          <w:rFonts w:ascii="Arial" w:cs="Arial" w:eastAsia="Arial" w:hAnsi="Arial"/>
          <w:b/>
          <w:bCs/>
          <w:color w:val="2E75B6"/>
          <w:sz w:val="28"/>
          <w:szCs w:val="28"/>
        </w:rPr>
        <w:t xml:space="preserve">3.4 Outros Documentos de Instrução do Despacho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Finalidade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Invoice (Fatura Comercial)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Comprovante da transação comercial; base para valoração aduaneira. Deve conter: descrição, quantidade, preço unitário, total, Incoterm, dados do comprador e vendedor.</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Packing List</w:t>
            </w:r>
          </w:p>
        </w:tc>
        <w:tc>
          <w:tcPr>
            <w:tcW w:type="dxa" w:w="6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Lista de volumes; descreve o conteúdo de cada embalagem (peso bruto, líquido, dimensões). Essencial para a conferência física.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Certificado de Origem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Comprova o país de origem da mercadoria para fins de aplicação de preferências tarifárias (Mercosul, ALADI) ou controle de origem.</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Apólice/Certificado de Seguro</w:t>
            </w:r>
          </w:p>
        </w:tc>
        <w:tc>
          <w:tcPr>
            <w:tcW w:type="dxa" w:w="6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Comprova a contratação do seguro internacional (exigido no Incoterm CIF/CIP). Integra o valor aduaneiro.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Romaneio de Carga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Documento de controle emitido pelo exportador ou transportador, complementar ao Packing List.</w:t>
            </w:r>
          </w:p>
        </w:tc>
      </w:tr>
      <w:tr>
        <w:tc>
          <w:tcPr>
            <w:tcW w:type="dxa" w:w="2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Certificado de Análise/Laudo Técnico</w:t>
            </w:r>
          </w:p>
        </w:tc>
        <w:tc>
          <w:tcPr>
            <w:tcW w:type="dxa" w:w="65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Exigido por órgãos anuentes (ANVISA, MAPA, INMETRO) para determinados produtos.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DU-E / Documento de Exportação Estrangeiro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Declaração de exportação do país de origem; útil para comprovação de origem e valor nas fiscalizações.</w:t>
            </w:r>
          </w:p>
        </w:tc>
      </w:tr>
    </w:tbl>
    <w:p>
      <w:pPr>
        <w:spacing w:after="80"/>
      </w:pPr>
      <w:r>
        <w:t xml:space="preserve"/>
      </w:r>
    </w:p>
    <w:p>
      <w:r>
        <w:br w:type="page"/>
      </w:r>
    </w:p>
    <w:p>
      <w:pPr>
        <w:pStyle w:val="Heading1"/>
      </w:pPr>
      <w:r>
        <w:rPr>
          <w:rFonts w:ascii="Arial" w:cs="Arial" w:eastAsia="Arial" w:hAnsi="Arial"/>
          <w:b/>
          <w:bCs/>
          <w:color w:val="1F4E79"/>
          <w:sz w:val="32"/>
          <w:szCs w:val="32"/>
        </w:rPr>
        <w:t xml:space="preserve">PARTE IV — ORIGEM DE MERCADORIAS E ACORDOS PREFERENCIAIS</w:t>
      </w:r>
    </w:p>
    <w:p>
      <w:pPr>
        <w:pStyle w:val="Heading2"/>
      </w:pPr>
      <w:r>
        <w:rPr>
          <w:rFonts w:ascii="Arial" w:cs="Arial" w:eastAsia="Arial" w:hAnsi="Arial"/>
          <w:b/>
          <w:bCs/>
          <w:color w:val="2E75B6"/>
          <w:sz w:val="28"/>
          <w:szCs w:val="28"/>
        </w:rPr>
        <w:t xml:space="preserve">4.1 Conceito de Origem</w:t>
      </w:r>
    </w:p>
    <w:p>
      <w:pPr>
        <w:spacing w:after="120"/>
        <w:jc w:val="both"/>
      </w:pPr>
      <w:r>
        <w:rPr>
          <w:rFonts w:ascii="Arial" w:cs="Arial" w:eastAsia="Arial" w:hAnsi="Arial"/>
          <w:sz w:val="22"/>
          <w:szCs w:val="22"/>
        </w:rPr>
        <w:t xml:space="preserve">A origem de uma mercadoria determina o país com o qual ela tem vínculo econômico, para fins de aplicação de alíquotas preferenciais, medidas antidumping, salvaguardas ou restrições quantitativas. Há dois tipos básicos de origem: (1) origem não-preferencial, usada para fins estatísticos e de controle; e (2) origem preferencial, que confere benefícios tarifários em acordos comerciais.</w:t>
      </w:r>
    </w:p>
    <w:p>
      <w:pPr>
        <w:spacing w:after="80"/>
      </w:pPr>
      <w:r>
        <w:t xml:space="preserve"/>
      </w:r>
    </w:p>
    <w:p>
      <w:pPr>
        <w:pStyle w:val="Heading2"/>
      </w:pPr>
      <w:r>
        <w:rPr>
          <w:rFonts w:ascii="Arial" w:cs="Arial" w:eastAsia="Arial" w:hAnsi="Arial"/>
          <w:b/>
          <w:bCs/>
          <w:color w:val="2E75B6"/>
          <w:sz w:val="28"/>
          <w:szCs w:val="28"/>
        </w:rPr>
        <w:t xml:space="preserve">4.2 Regras de Origem no Mercosul</w:t>
      </w:r>
    </w:p>
    <w:p>
      <w:pPr>
        <w:spacing w:after="120"/>
        <w:jc w:val="both"/>
      </w:pPr>
      <w:r>
        <w:rPr>
          <w:rFonts w:ascii="Arial" w:cs="Arial" w:eastAsia="Arial" w:hAnsi="Arial"/>
          <w:sz w:val="22"/>
          <w:szCs w:val="22"/>
        </w:rPr>
        <w:t xml:space="preserve">O Regime de Origem do Mercosul está previsto no Anexo IX do Tratado de Assunção e nas Decisões CMC (Conselho Mercado Comum). Para que um produto seja considerado originário do Mercosul e se beneficie da preferência tarifária de 100% (tarifa zero), deve atender a uma das seguintes regras:</w:t>
      </w:r>
    </w:p>
    <w:p>
      <w:pPr>
        <w:pStyle w:val="ListParagraph"/>
        <w:numPr>
          <w:ilvl w:val="0"/>
          <w:numId w:val="2"/>
        </w:numPr>
        <w:spacing w:after="80"/>
      </w:pPr>
      <w:r>
        <w:rPr>
          <w:rFonts w:ascii="Arial" w:cs="Arial" w:eastAsia="Arial" w:hAnsi="Arial"/>
          <w:sz w:val="22"/>
          <w:szCs w:val="22"/>
        </w:rPr>
        <w:t xml:space="preserve">Produtos inteiramente obtidos: minerais, vegetais, animais, produtos da pesca extraídos no território.</w:t>
      </w:r>
    </w:p>
    <w:p>
      <w:pPr>
        <w:pStyle w:val="ListParagraph"/>
        <w:numPr>
          <w:ilvl w:val="0"/>
          <w:numId w:val="2"/>
        </w:numPr>
        <w:spacing w:after="80"/>
      </w:pPr>
      <w:r>
        <w:rPr>
          <w:rFonts w:ascii="Arial" w:cs="Arial" w:eastAsia="Arial" w:hAnsi="Arial"/>
          <w:sz w:val="22"/>
          <w:szCs w:val="22"/>
        </w:rPr>
        <w:t xml:space="preserve">Transformação substancial: o produto final deve ter NCM diferente dos insumos não-originários utilizados (mudança de classificação tarifária — CCT).</w:t>
      </w:r>
    </w:p>
    <w:p>
      <w:pPr>
        <w:pStyle w:val="ListParagraph"/>
        <w:numPr>
          <w:ilvl w:val="0"/>
          <w:numId w:val="2"/>
        </w:numPr>
        <w:spacing w:after="80"/>
      </w:pPr>
      <w:r>
        <w:rPr>
          <w:rFonts w:ascii="Arial" w:cs="Arial" w:eastAsia="Arial" w:hAnsi="Arial"/>
          <w:sz w:val="22"/>
          <w:szCs w:val="22"/>
        </w:rPr>
        <w:t xml:space="preserve">Valor de conteúdo regional (VCR): ao menos 60% do valor do produto final deve ser proveniente de materiais originários ou de transformação realizada no Mercosul (40% para determinados setores).</w:t>
      </w:r>
    </w:p>
    <w:p>
      <w:pPr>
        <w:pStyle w:val="ListParagraph"/>
        <w:numPr>
          <w:ilvl w:val="0"/>
          <w:numId w:val="2"/>
        </w:numPr>
        <w:spacing w:after="80"/>
      </w:pPr>
      <w:r>
        <w:rPr>
          <w:rFonts w:ascii="Arial" w:cs="Arial" w:eastAsia="Arial" w:hAnsi="Arial"/>
          <w:sz w:val="22"/>
          <w:szCs w:val="22"/>
        </w:rPr>
        <w:t xml:space="preserve">Requisitos específicos por produto (REP): listas especiais para setores como automobilístico e têxtil.</w:t>
      </w:r>
    </w:p>
    <w:p>
      <w:pPr>
        <w:spacing w:after="80"/>
      </w:pPr>
      <w:r>
        <w:t xml:space="preserve"/>
      </w:r>
    </w:p>
    <w:p>
      <w:pPr>
        <w:pStyle w:val="Heading2"/>
      </w:pPr>
      <w:r>
        <w:rPr>
          <w:rFonts w:ascii="Arial" w:cs="Arial" w:eastAsia="Arial" w:hAnsi="Arial"/>
          <w:b/>
          <w:bCs/>
          <w:color w:val="2E75B6"/>
          <w:sz w:val="28"/>
          <w:szCs w:val="28"/>
        </w:rPr>
        <w:t xml:space="preserve">4.3 Acordo de Complementação Econômica (ACE) — ALADI</w:t>
      </w:r>
    </w:p>
    <w:p>
      <w:pPr>
        <w:spacing w:after="120"/>
        <w:jc w:val="both"/>
      </w:pPr>
      <w:r>
        <w:rPr>
          <w:rFonts w:ascii="Arial" w:cs="Arial" w:eastAsia="Arial" w:hAnsi="Arial"/>
          <w:sz w:val="22"/>
          <w:szCs w:val="22"/>
        </w:rPr>
        <w:t xml:space="preserve">No âmbito da ALADI (Associação Latino-Americana de Integração), o Brasil possui ACEs com vários países da América do Sul e Central, que estabelecem preferências tarifárias (reduções percentuais sobre a TEC). Os principais são: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3160"/>
        <w:gridCol w:w="200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Acordo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Países</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Abrangência</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Preferência máxima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ACE-18 (Mercosul)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Argentina, Uruguai, Paraguai, Venezuela*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Livre comércio (100% redução)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ACE-35</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Chile</w:t>
            </w:r>
          </w:p>
        </w:tc>
        <w:tc>
          <w:tcPr>
            <w:tcW w:type="dxa" w:w="3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Quase totalidade das mercadorias</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Bolívia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Maioria dos produtos industriais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100%</w:t>
            </w:r>
          </w:p>
        </w:tc>
      </w:tr>
      <w:tr>
        <w:tc>
          <w:tcPr>
            <w:tcW w:type="dxa" w:w="18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ACE-38</w:t>
            </w:r>
          </w:p>
        </w:tc>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Peru</w:t>
            </w:r>
          </w:p>
        </w:tc>
        <w:tc>
          <w:tcPr>
            <w:tcW w:type="dxa" w:w="31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Lista de produtos negociados</w:t>
            </w:r>
          </w:p>
        </w:tc>
        <w:tc>
          <w:tcPr>
            <w:tcW w:type="dxa" w:w="20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Variável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ACE-59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Colômbia, Equador, Venezuela*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Lista de produtos negociados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Variável</w:t>
            </w:r>
          </w:p>
        </w:tc>
      </w:tr>
    </w:tbl>
    <w:p>
      <w:pPr>
        <w:pBdr>
          <w:left w:val="single" w:color="2E75B6" w:sz="4" w:space="8"/>
        </w:pBdr>
        <w:spacing w:after="120"/>
        <w:ind w:left="360"/>
        <w:jc w:val="both"/>
      </w:pPr>
      <w:r>
        <w:rPr>
          <w:rFonts w:ascii="Arial" w:cs="Arial" w:eastAsia="Arial" w:hAnsi="Arial"/>
          <w:i/>
          <w:iCs/>
          <w:color w:val="444444"/>
          <w:sz w:val="20"/>
          <w:szCs w:val="20"/>
        </w:rPr>
        <w:t xml:space="preserve">*Venezuela está suspensa do Mercosul desde 2016.</w:t>
      </w:r>
    </w:p>
    <w:p>
      <w:pPr>
        <w:spacing w:after="80"/>
      </w:pPr>
      <w:r>
        <w:t xml:space="preserve"/>
      </w:r>
    </w:p>
    <w:p>
      <w:pPr>
        <w:pStyle w:val="Heading3"/>
      </w:pPr>
      <w:r>
        <w:rPr>
          <w:rFonts w:ascii="Arial" w:cs="Arial" w:eastAsia="Arial" w:hAnsi="Arial"/>
          <w:b/>
          <w:bCs/>
          <w:color w:val="2E75B6"/>
          <w:sz w:val="24"/>
          <w:szCs w:val="24"/>
        </w:rPr>
        <w:t xml:space="preserve">Certificado de Origem para preferências tarifárias:</w:t>
      </w:r>
    </w:p>
    <w:p>
      <w:pPr>
        <w:pStyle w:val="ListParagraph"/>
        <w:numPr>
          <w:ilvl w:val="0"/>
          <w:numId w:val="2"/>
        </w:numPr>
        <w:spacing w:after="80"/>
      </w:pPr>
      <w:r>
        <w:rPr>
          <w:rFonts w:ascii="Arial" w:cs="Arial" w:eastAsia="Arial" w:hAnsi="Arial"/>
          <w:sz w:val="22"/>
          <w:szCs w:val="22"/>
        </w:rPr>
        <w:t xml:space="preserve">Mercosul: Certificado de Origem Mercosul (formulário específico, aprovado pelo MDIC).</w:t>
      </w:r>
    </w:p>
    <w:p>
      <w:pPr>
        <w:pStyle w:val="ListParagraph"/>
        <w:numPr>
          <w:ilvl w:val="0"/>
          <w:numId w:val="2"/>
        </w:numPr>
        <w:spacing w:after="80"/>
      </w:pPr>
      <w:r>
        <w:rPr>
          <w:rFonts w:ascii="Arial" w:cs="Arial" w:eastAsia="Arial" w:hAnsi="Arial"/>
          <w:sz w:val="22"/>
          <w:szCs w:val="22"/>
        </w:rPr>
        <w:t xml:space="preserve">ALADI/ACE: Certificado de Origem ALADI (Formulário ALADI).</w:t>
      </w:r>
    </w:p>
    <w:p>
      <w:pPr>
        <w:pStyle w:val="ListParagraph"/>
        <w:numPr>
          <w:ilvl w:val="0"/>
          <w:numId w:val="2"/>
        </w:numPr>
        <w:spacing w:after="80"/>
      </w:pPr>
      <w:r>
        <w:rPr>
          <w:rFonts w:ascii="Arial" w:cs="Arial" w:eastAsia="Arial" w:hAnsi="Arial"/>
          <w:sz w:val="22"/>
          <w:szCs w:val="22"/>
        </w:rPr>
        <w:t xml:space="preserve">Deve ser emitido antes ou no ato do embarque pela entidade certificadora do país exportador.</w:t>
      </w:r>
    </w:p>
    <w:p>
      <w:pPr>
        <w:pStyle w:val="ListParagraph"/>
        <w:numPr>
          <w:ilvl w:val="0"/>
          <w:numId w:val="2"/>
        </w:numPr>
        <w:spacing w:after="80"/>
      </w:pPr>
      <w:r>
        <w:rPr>
          <w:rFonts w:ascii="Arial" w:cs="Arial" w:eastAsia="Arial" w:hAnsi="Arial"/>
          <w:sz w:val="22"/>
          <w:szCs w:val="22"/>
        </w:rPr>
        <w:t xml:space="preserve">Validade: geralmente 180 dias. A RFB pode exigir retroativamente se não apresentado no desembaraço.</w:t>
      </w:r>
    </w:p>
    <w:p>
      <w:pPr>
        <w:spacing w:after="80"/>
      </w:pPr>
      <w:r>
        <w:t xml:space="preserve"/>
      </w:r>
    </w:p>
    <w:p>
      <w:pPr>
        <w:pStyle w:val="Heading2"/>
      </w:pPr>
      <w:r>
        <w:rPr>
          <w:rFonts w:ascii="Arial" w:cs="Arial" w:eastAsia="Arial" w:hAnsi="Arial"/>
          <w:b/>
          <w:bCs/>
          <w:color w:val="2E75B6"/>
          <w:sz w:val="28"/>
          <w:szCs w:val="28"/>
        </w:rPr>
        <w:t xml:space="preserve">4.4 Acordo Mercosul-União Europeia</w:t>
      </w:r>
    </w:p>
    <w:p>
      <w:pPr>
        <w:spacing w:after="120"/>
        <w:jc w:val="both"/>
      </w:pPr>
      <w:r>
        <w:rPr>
          <w:rFonts w:ascii="Arial" w:cs="Arial" w:eastAsia="Arial" w:hAnsi="Arial"/>
          <w:sz w:val="22"/>
          <w:szCs w:val="22"/>
        </w:rPr>
        <w:t xml:space="preserve">O acordo comercial entre o Mercosul e a União Europeia foi concluído tecnicamente em 2019, mas ainda aguarda ratificação dos parlamentos nacionais e da UE. Quando vigente, representará a criação da maior zona de livre comércio do mundo, com eliminação progressiva de tarifas em ambos os lados num prazo de 10 a 15 anos. Importações de bens industrializados da UE para o Brasil terão redução gradual do II.</w:t>
      </w:r>
    </w:p>
    <w:p>
      <w:pPr>
        <w:spacing w:after="80"/>
      </w:pPr>
      <w:r>
        <w:t xml:space="preserve"/>
      </w:r>
    </w:p>
    <w:p>
      <w:r>
        <w:br w:type="page"/>
      </w:r>
    </w:p>
    <w:p>
      <w:pPr>
        <w:pStyle w:val="Heading1"/>
      </w:pPr>
      <w:r>
        <w:rPr>
          <w:rFonts w:ascii="Arial" w:cs="Arial" w:eastAsia="Arial" w:hAnsi="Arial"/>
          <w:b/>
          <w:bCs/>
          <w:color w:val="1F4E79"/>
          <w:sz w:val="32"/>
          <w:szCs w:val="32"/>
        </w:rPr>
        <w:t xml:space="preserve">PARTE V — ANTIDUMPING E MEDIDAS DE DEFESA COMERCIAL</w:t>
      </w:r>
    </w:p>
    <w:p>
      <w:pPr>
        <w:pStyle w:val="Heading2"/>
      </w:pPr>
      <w:r>
        <w:rPr>
          <w:rFonts w:ascii="Arial" w:cs="Arial" w:eastAsia="Arial" w:hAnsi="Arial"/>
          <w:b/>
          <w:bCs/>
          <w:color w:val="2E75B6"/>
          <w:sz w:val="28"/>
          <w:szCs w:val="28"/>
        </w:rPr>
        <w:t xml:space="preserve">5.1 Conceito de Dumping</w:t>
      </w:r>
    </w:p>
    <w:p>
      <w:pPr>
        <w:spacing w:after="120"/>
        <w:jc w:val="both"/>
      </w:pPr>
      <w:r>
        <w:rPr>
          <w:rFonts w:ascii="Arial" w:cs="Arial" w:eastAsia="Arial" w:hAnsi="Arial"/>
          <w:sz w:val="22"/>
          <w:szCs w:val="22"/>
        </w:rPr>
        <w:t xml:space="preserve">Dumping é a prática de exportar um produto a preço inferior ao seu valor normal (preço praticado no mercado interno do país exportador ou custo de produção), causando ou ameaçando causar dano material à indústria doméstica do país importador. É regulado pelo Acordo Antidumping da OMC (Acordo de Marraqueche, Anexo 1A) e, no Brasil, pelo Decreto nº 8.058/2013.</w:t>
      </w:r>
    </w:p>
    <w:p>
      <w:pPr>
        <w:spacing w:after="80"/>
      </w:pPr>
      <w:r>
        <w:t xml:space="preserve"/>
      </w:r>
    </w:p>
    <w:p>
      <w:pPr>
        <w:pStyle w:val="Heading2"/>
      </w:pPr>
      <w:r>
        <w:rPr>
          <w:rFonts w:ascii="Arial" w:cs="Arial" w:eastAsia="Arial" w:hAnsi="Arial"/>
          <w:b/>
          <w:bCs/>
          <w:color w:val="2E75B6"/>
          <w:sz w:val="28"/>
          <w:szCs w:val="28"/>
        </w:rPr>
        <w:t xml:space="preserve">5.2 Medidas Antidumping</w:t>
      </w:r>
    </w:p>
    <w:p>
      <w:pPr>
        <w:spacing w:after="120"/>
        <w:jc w:val="both"/>
      </w:pPr>
      <w:r>
        <w:rPr>
          <w:rFonts w:ascii="Arial" w:cs="Arial" w:eastAsia="Arial" w:hAnsi="Arial"/>
          <w:sz w:val="22"/>
          <w:szCs w:val="22"/>
        </w:rPr>
        <w:t xml:space="preserve">As medidas antidumping são direitos adicionais ao II, cobrados sobre as importações do produto sob investigação. No Brasil, são aplicadas pela CAMEX/MDIC após investigação conduzida pelo DECOM (Departamento de Defesa Comercial do MDIC).</w:t>
      </w:r>
    </w:p>
    <w:p>
      <w:pPr>
        <w:pStyle w:val="Heading3"/>
      </w:pPr>
      <w:r>
        <w:rPr>
          <w:rFonts w:ascii="Arial" w:cs="Arial" w:eastAsia="Arial" w:hAnsi="Arial"/>
          <w:b/>
          <w:bCs/>
          <w:color w:val="2E75B6"/>
          <w:sz w:val="24"/>
          <w:szCs w:val="24"/>
        </w:rPr>
        <w:t xml:space="preserve">Procedimento de investigação:</w:t>
      </w:r>
    </w:p>
    <w:p>
      <w:pPr>
        <w:pStyle w:val="ListParagraph"/>
        <w:numPr>
          <w:ilvl w:val="0"/>
          <w:numId w:val="2"/>
        </w:numPr>
        <w:spacing w:after="80"/>
      </w:pPr>
      <w:r>
        <w:rPr>
          <w:rFonts w:ascii="Arial" w:cs="Arial" w:eastAsia="Arial" w:hAnsi="Arial"/>
          <w:sz w:val="22"/>
          <w:szCs w:val="22"/>
        </w:rPr>
        <w:t xml:space="preserve">Petição: formulada pela indústria nacional, com prova de dumping, dano e nexo causal.</w:t>
      </w:r>
    </w:p>
    <w:p>
      <w:pPr>
        <w:pStyle w:val="ListParagraph"/>
        <w:numPr>
          <w:ilvl w:val="0"/>
          <w:numId w:val="2"/>
        </w:numPr>
        <w:spacing w:after="80"/>
      </w:pPr>
      <w:r>
        <w:rPr>
          <w:rFonts w:ascii="Arial" w:cs="Arial" w:eastAsia="Arial" w:hAnsi="Arial"/>
          <w:sz w:val="22"/>
          <w:szCs w:val="22"/>
        </w:rPr>
        <w:t xml:space="preserve">Abertura: publicada no DOU pelo DECOM.</w:t>
      </w:r>
    </w:p>
    <w:p>
      <w:pPr>
        <w:pStyle w:val="ListParagraph"/>
        <w:numPr>
          <w:ilvl w:val="0"/>
          <w:numId w:val="2"/>
        </w:numPr>
        <w:spacing w:after="80"/>
      </w:pPr>
      <w:r>
        <w:rPr>
          <w:rFonts w:ascii="Arial" w:cs="Arial" w:eastAsia="Arial" w:hAnsi="Arial"/>
          <w:sz w:val="22"/>
          <w:szCs w:val="22"/>
        </w:rPr>
        <w:t xml:space="preserve">Prazo: investigação deve ser concluída em até 12 meses (prorrogável por mais 6 meses).</w:t>
      </w:r>
    </w:p>
    <w:p>
      <w:pPr>
        <w:pStyle w:val="ListParagraph"/>
        <w:numPr>
          <w:ilvl w:val="0"/>
          <w:numId w:val="2"/>
        </w:numPr>
        <w:spacing w:after="80"/>
      </w:pPr>
      <w:r>
        <w:rPr>
          <w:rFonts w:ascii="Arial" w:cs="Arial" w:eastAsia="Arial" w:hAnsi="Arial"/>
          <w:sz w:val="22"/>
          <w:szCs w:val="22"/>
        </w:rPr>
        <w:t xml:space="preserve">Medida provisória: pode ser aplicada antes do término da investigação, se houver dano iminente.</w:t>
      </w:r>
    </w:p>
    <w:p>
      <w:pPr>
        <w:pStyle w:val="ListParagraph"/>
        <w:numPr>
          <w:ilvl w:val="0"/>
          <w:numId w:val="2"/>
        </w:numPr>
        <w:spacing w:after="80"/>
      </w:pPr>
      <w:r>
        <w:rPr>
          <w:rFonts w:ascii="Arial" w:cs="Arial" w:eastAsia="Arial" w:hAnsi="Arial"/>
          <w:sz w:val="22"/>
          <w:szCs w:val="22"/>
        </w:rPr>
        <w:t xml:space="preserve">Medida definitiva: vigência de até 5 anos, prorrogável por mais 5 anos (cláusula sunset).</w:t>
      </w:r>
    </w:p>
    <w:p>
      <w:pPr>
        <w:spacing w:after="80"/>
      </w:pPr>
      <w:r>
        <w:t xml:space="preserve"/>
      </w:r>
    </w:p>
    <w:p>
      <w:pPr>
        <w:pStyle w:val="Heading3"/>
      </w:pPr>
      <w:r>
        <w:rPr>
          <w:rFonts w:ascii="Arial" w:cs="Arial" w:eastAsia="Arial" w:hAnsi="Arial"/>
          <w:b/>
          <w:bCs/>
          <w:color w:val="2E75B6"/>
          <w:sz w:val="24"/>
          <w:szCs w:val="24"/>
        </w:rPr>
        <w:t xml:space="preserve">Impacto operacional:</w:t>
      </w:r>
    </w:p>
    <w:p>
      <w:pPr>
        <w:pStyle w:val="ListParagraph"/>
        <w:numPr>
          <w:ilvl w:val="0"/>
          <w:numId w:val="2"/>
        </w:numPr>
        <w:spacing w:after="80"/>
      </w:pPr>
      <w:r>
        <w:rPr>
          <w:rFonts w:ascii="Arial" w:cs="Arial" w:eastAsia="Arial" w:hAnsi="Arial"/>
          <w:sz w:val="22"/>
          <w:szCs w:val="22"/>
        </w:rPr>
        <w:t xml:space="preserve">O direito antidumping é cobrado por fora do II e incide sobre o valor aduaneiro.</w:t>
      </w:r>
    </w:p>
    <w:p>
      <w:pPr>
        <w:pStyle w:val="ListParagraph"/>
        <w:numPr>
          <w:ilvl w:val="0"/>
          <w:numId w:val="2"/>
        </w:numPr>
        <w:spacing w:after="80"/>
      </w:pPr>
      <w:r>
        <w:rPr>
          <w:rFonts w:ascii="Arial" w:cs="Arial" w:eastAsia="Arial" w:hAnsi="Arial"/>
          <w:sz w:val="22"/>
          <w:szCs w:val="22"/>
        </w:rPr>
        <w:t xml:space="preserve">Pode ser fixo (valor por unidade) ou ad valorem (% sobre o VA).</w:t>
      </w:r>
    </w:p>
    <w:p>
      <w:pPr>
        <w:pStyle w:val="ListParagraph"/>
        <w:numPr>
          <w:ilvl w:val="0"/>
          <w:numId w:val="2"/>
        </w:numPr>
        <w:spacing w:after="80"/>
      </w:pPr>
      <w:r>
        <w:rPr>
          <w:rFonts w:ascii="Arial" w:cs="Arial" w:eastAsia="Arial" w:hAnsi="Arial"/>
          <w:sz w:val="22"/>
          <w:szCs w:val="22"/>
        </w:rPr>
        <w:t xml:space="preserve">O importador deve verificar se há medida vigente para o NCM e país de origem ANTES de fechar o contrato.</w:t>
      </w:r>
    </w:p>
    <w:p>
      <w:pPr>
        <w:pStyle w:val="ListParagraph"/>
        <w:numPr>
          <w:ilvl w:val="0"/>
          <w:numId w:val="2"/>
        </w:numPr>
        <w:spacing w:after="80"/>
      </w:pPr>
      <w:r>
        <w:rPr>
          <w:rFonts w:ascii="Arial" w:cs="Arial" w:eastAsia="Arial" w:hAnsi="Arial"/>
          <w:sz w:val="22"/>
          <w:szCs w:val="22"/>
        </w:rPr>
        <w:t xml:space="preserve">Consultar: www.gov.br/mdic — DECOM — Lista de Medidas Vigentes.</w:t>
      </w:r>
    </w:p>
    <w:p>
      <w:pPr>
        <w:pBdr>
          <w:left w:val="single" w:color="2E75B6" w:sz="4" w:space="8"/>
        </w:pBdr>
        <w:spacing w:after="120"/>
        <w:ind w:left="360"/>
        <w:jc w:val="both"/>
      </w:pPr>
      <w:r>
        <w:rPr>
          <w:rFonts w:ascii="Arial" w:cs="Arial" w:eastAsia="Arial" w:hAnsi="Arial"/>
          <w:i/>
          <w:iCs/>
          <w:color w:val="444444"/>
          <w:sz w:val="20"/>
          <w:szCs w:val="20"/>
        </w:rPr>
        <w:t xml:space="preserve">Importar produto sujeito a medida antidumping sem o recolhimento do direito é infração grave, sujeita à multa e ao perdimento da mercadoria.</w:t>
      </w:r>
    </w:p>
    <w:p>
      <w:pPr>
        <w:spacing w:after="80"/>
      </w:pPr>
      <w:r>
        <w:t xml:space="preserve"/>
      </w:r>
    </w:p>
    <w:p>
      <w:pPr>
        <w:pStyle w:val="Heading2"/>
      </w:pPr>
      <w:r>
        <w:rPr>
          <w:rFonts w:ascii="Arial" w:cs="Arial" w:eastAsia="Arial" w:hAnsi="Arial"/>
          <w:b/>
          <w:bCs/>
          <w:color w:val="2E75B6"/>
          <w:sz w:val="28"/>
          <w:szCs w:val="28"/>
        </w:rPr>
        <w:t xml:space="preserve">5.3 Medidas de Salvaguarda</w:t>
      </w:r>
    </w:p>
    <w:p>
      <w:pPr>
        <w:spacing w:after="120"/>
        <w:jc w:val="both"/>
      </w:pPr>
      <w:r>
        <w:rPr>
          <w:rFonts w:ascii="Arial" w:cs="Arial" w:eastAsia="Arial" w:hAnsi="Arial"/>
          <w:sz w:val="22"/>
          <w:szCs w:val="22"/>
        </w:rPr>
        <w:t xml:space="preserve">As salvaguardas são medidas temporárias de restrição às importações (aumento tarifário ou cotas) aplicadas quando um aumento inesperado nas importações causa ou ameaça causar dano grave à indústria doméstica. Diferem do antidumping por não exigirem prática desleal do exportador — basta o aumento das importações. Base legal no Brasil: Decreto nº 1.751/1995.</w:t>
      </w:r>
    </w:p>
    <w:p>
      <w:pPr>
        <w:spacing w:after="80"/>
      </w:pPr>
      <w:r>
        <w:t xml:space="preserve"/>
      </w:r>
    </w:p>
    <w:p>
      <w:pPr>
        <w:pStyle w:val="Heading2"/>
      </w:pPr>
      <w:r>
        <w:rPr>
          <w:rFonts w:ascii="Arial" w:cs="Arial" w:eastAsia="Arial" w:hAnsi="Arial"/>
          <w:b/>
          <w:bCs/>
          <w:color w:val="2E75B6"/>
          <w:sz w:val="28"/>
          <w:szCs w:val="28"/>
        </w:rPr>
        <w:t xml:space="preserve">5.4 Medidas Compensatórias (Antisubsídio)</w:t>
      </w:r>
    </w:p>
    <w:p>
      <w:pPr>
        <w:spacing w:after="120"/>
        <w:jc w:val="both"/>
      </w:pPr>
      <w:r>
        <w:rPr>
          <w:rFonts w:ascii="Arial" w:cs="Arial" w:eastAsia="Arial" w:hAnsi="Arial"/>
          <w:sz w:val="22"/>
          <w:szCs w:val="22"/>
        </w:rPr>
        <w:t xml:space="preserve">Aplicadas quando o produto importado se beneficia de subsídio concedido pelo governo do país exportador, causando dano à indústria nacional. O direito compensatório é cobrado para neutralizar o efeito do subsídio. Regulado pelo Decreto nº 1.751/1995 e Decreto nº 8.058/2013.</w:t>
      </w:r>
    </w:p>
    <w:p>
      <w:pPr>
        <w:spacing w:after="80"/>
      </w:pPr>
      <w:r>
        <w:t xml:space="preserve"/>
      </w:r>
    </w:p>
    <w:p>
      <w:r>
        <w:br w:type="page"/>
      </w:r>
    </w:p>
    <w:p>
      <w:pPr>
        <w:pStyle w:val="Heading1"/>
      </w:pPr>
      <w:r>
        <w:rPr>
          <w:rFonts w:ascii="Arial" w:cs="Arial" w:eastAsia="Arial" w:hAnsi="Arial"/>
          <w:b/>
          <w:bCs/>
          <w:color w:val="1F4E79"/>
          <w:sz w:val="32"/>
          <w:szCs w:val="32"/>
        </w:rPr>
        <w:t xml:space="preserve">PARTE VI — ZONAS FRANCAS E ÁREAS ESPECIAIS</w:t>
      </w:r>
    </w:p>
    <w:p>
      <w:pPr>
        <w:pStyle w:val="Heading2"/>
      </w:pPr>
      <w:r>
        <w:rPr>
          <w:rFonts w:ascii="Arial" w:cs="Arial" w:eastAsia="Arial" w:hAnsi="Arial"/>
          <w:b/>
          <w:bCs/>
          <w:color w:val="2E75B6"/>
          <w:sz w:val="28"/>
          <w:szCs w:val="28"/>
        </w:rPr>
        <w:t xml:space="preserve">6.1 Zona Franca de Manaus (ZFM)</w:t>
      </w:r>
    </w:p>
    <w:p>
      <w:pPr>
        <w:spacing w:after="120"/>
        <w:jc w:val="both"/>
      </w:pPr>
      <w:r>
        <w:rPr>
          <w:rFonts w:ascii="Arial" w:cs="Arial" w:eastAsia="Arial" w:hAnsi="Arial"/>
          <w:sz w:val="22"/>
          <w:szCs w:val="22"/>
        </w:rPr>
        <w:t xml:space="preserve">A Zona Franca de Manaus é uma área de livre comércio de importação e exportação e de incentivos fiscais especiais, estabelecida no Decreto-Lei nº 288/1967, com sede em Manaus-AM. Constitui um dos maiores polos industriais do Brasil, com foco em eletroeletrônicos, motocicletas e produtos de informática.</w:t>
      </w:r>
    </w:p>
    <w:p>
      <w:pPr>
        <w:pStyle w:val="Heading3"/>
      </w:pPr>
      <w:r>
        <w:rPr>
          <w:rFonts w:ascii="Arial" w:cs="Arial" w:eastAsia="Arial" w:hAnsi="Arial"/>
          <w:b/>
          <w:bCs/>
          <w:color w:val="2E75B6"/>
          <w:sz w:val="24"/>
          <w:szCs w:val="24"/>
        </w:rPr>
        <w:t xml:space="preserve">Benefícios fiscais na importação para a ZFM:</w:t>
      </w:r>
    </w:p>
    <w:p>
      <w:pPr>
        <w:pStyle w:val="ListParagraph"/>
        <w:numPr>
          <w:ilvl w:val="0"/>
          <w:numId w:val="2"/>
        </w:numPr>
        <w:spacing w:after="80"/>
      </w:pPr>
      <w:r>
        <w:rPr>
          <w:rFonts w:ascii="Arial" w:cs="Arial" w:eastAsia="Arial" w:hAnsi="Arial"/>
          <w:sz w:val="22"/>
          <w:szCs w:val="22"/>
        </w:rPr>
        <w:t xml:space="preserve">Isenção do II para mercadorias destinadas à ZFM, salvo restrições específicas (armas, bebidas alcoólicas, fumo, automóveis de passeio).</w:t>
      </w:r>
    </w:p>
    <w:p>
      <w:pPr>
        <w:pStyle w:val="ListParagraph"/>
        <w:numPr>
          <w:ilvl w:val="0"/>
          <w:numId w:val="2"/>
        </w:numPr>
        <w:spacing w:after="80"/>
      </w:pPr>
      <w:r>
        <w:rPr>
          <w:rFonts w:ascii="Arial" w:cs="Arial" w:eastAsia="Arial" w:hAnsi="Arial"/>
          <w:sz w:val="22"/>
          <w:szCs w:val="22"/>
        </w:rPr>
        <w:t xml:space="preserve">Isenção do IPI para produtos industrializados na ZFM destinados à ZFM.</w:t>
      </w:r>
    </w:p>
    <w:p>
      <w:pPr>
        <w:pStyle w:val="ListParagraph"/>
        <w:numPr>
          <w:ilvl w:val="0"/>
          <w:numId w:val="2"/>
        </w:numPr>
        <w:spacing w:after="80"/>
      </w:pPr>
      <w:r>
        <w:rPr>
          <w:rFonts w:ascii="Arial" w:cs="Arial" w:eastAsia="Arial" w:hAnsi="Arial"/>
          <w:sz w:val="22"/>
          <w:szCs w:val="22"/>
        </w:rPr>
        <w:t xml:space="preserve">Redução de PIS/COFINS para determinados produtos.</w:t>
      </w:r>
    </w:p>
    <w:p>
      <w:pPr>
        <w:pStyle w:val="ListParagraph"/>
        <w:numPr>
          <w:ilvl w:val="0"/>
          <w:numId w:val="2"/>
        </w:numPr>
        <w:spacing w:after="80"/>
      </w:pPr>
      <w:r>
        <w:rPr>
          <w:rFonts w:ascii="Arial" w:cs="Arial" w:eastAsia="Arial" w:hAnsi="Arial"/>
          <w:sz w:val="22"/>
          <w:szCs w:val="22"/>
        </w:rPr>
        <w:t xml:space="preserve">ICMS: regime especial conforme legislação do Amazonas.</w:t>
      </w:r>
    </w:p>
    <w:p>
      <w:pPr>
        <w:pStyle w:val="Heading3"/>
      </w:pPr>
      <w:r>
        <w:rPr>
          <w:rFonts w:ascii="Arial" w:cs="Arial" w:eastAsia="Arial" w:hAnsi="Arial"/>
          <w:b/>
          <w:bCs/>
          <w:color w:val="2E75B6"/>
          <w:sz w:val="24"/>
          <w:szCs w:val="24"/>
        </w:rPr>
        <w:t xml:space="preserve">Controles específicos:</w:t>
      </w:r>
    </w:p>
    <w:p>
      <w:pPr>
        <w:pStyle w:val="ListParagraph"/>
        <w:numPr>
          <w:ilvl w:val="0"/>
          <w:numId w:val="2"/>
        </w:numPr>
        <w:spacing w:after="80"/>
      </w:pPr>
      <w:r>
        <w:rPr>
          <w:rFonts w:ascii="Arial" w:cs="Arial" w:eastAsia="Arial" w:hAnsi="Arial"/>
          <w:sz w:val="22"/>
          <w:szCs w:val="22"/>
        </w:rPr>
        <w:t xml:space="preserve">A importação para a ZFM deve ser registrada no SUFRAMA (Superintendência da ZFM).</w:t>
      </w:r>
    </w:p>
    <w:p>
      <w:pPr>
        <w:pStyle w:val="ListParagraph"/>
        <w:numPr>
          <w:ilvl w:val="0"/>
          <w:numId w:val="2"/>
        </w:numPr>
        <w:spacing w:after="80"/>
      </w:pPr>
      <w:r>
        <w:rPr>
          <w:rFonts w:ascii="Arial" w:cs="Arial" w:eastAsia="Arial" w:hAnsi="Arial"/>
          <w:sz w:val="22"/>
          <w:szCs w:val="22"/>
        </w:rPr>
        <w:t xml:space="preserve">A saída de produtos da ZFM para outras regiões do Brasil é equiparada à importação, com cobrança dos tributos devidos.</w:t>
      </w:r>
    </w:p>
    <w:p>
      <w:pPr>
        <w:spacing w:after="80"/>
      </w:pPr>
      <w:r>
        <w:t xml:space="preserve"/>
      </w:r>
    </w:p>
    <w:p>
      <w:pPr>
        <w:pStyle w:val="Heading2"/>
      </w:pPr>
      <w:r>
        <w:rPr>
          <w:rFonts w:ascii="Arial" w:cs="Arial" w:eastAsia="Arial" w:hAnsi="Arial"/>
          <w:b/>
          <w:bCs/>
          <w:color w:val="2E75B6"/>
          <w:sz w:val="28"/>
          <w:szCs w:val="28"/>
        </w:rPr>
        <w:t xml:space="preserve">6.2 Zonas de Processamento de Exportação (ZPE)</w:t>
      </w:r>
    </w:p>
    <w:p>
      <w:pPr>
        <w:spacing w:after="120"/>
        <w:jc w:val="both"/>
      </w:pPr>
      <w:r>
        <w:rPr>
          <w:rFonts w:ascii="Arial" w:cs="Arial" w:eastAsia="Arial" w:hAnsi="Arial"/>
          <w:sz w:val="22"/>
          <w:szCs w:val="22"/>
        </w:rPr>
        <w:t xml:space="preserve">As ZPEs são áreas de livre comércio destinadas exclusivamente à produção de bens para exportação, com suspensão de tributos na importação de insumos. Reguladas pela Lei nº 11.508/2007. As ZPEs devem exportar no mínimo 80% de sua produção; os 20% restantes podem ser vendidos no mercado interno com pagamento dos tributos suspensos.</w:t>
      </w:r>
    </w:p>
    <w:p>
      <w:pPr>
        <w:spacing w:after="80"/>
      </w:pPr>
      <w:r>
        <w:t xml:space="preserve"/>
      </w:r>
    </w:p>
    <w:p>
      <w:pPr>
        <w:pStyle w:val="Heading2"/>
      </w:pPr>
      <w:r>
        <w:rPr>
          <w:rFonts w:ascii="Arial" w:cs="Arial" w:eastAsia="Arial" w:hAnsi="Arial"/>
          <w:b/>
          <w:bCs/>
          <w:color w:val="2E75B6"/>
          <w:sz w:val="28"/>
          <w:szCs w:val="28"/>
        </w:rPr>
        <w:t xml:space="preserve">6.3 Área de Livre Comércio (ALC)</w:t>
      </w:r>
    </w:p>
    <w:p>
      <w:pPr>
        <w:spacing w:after="120"/>
        <w:jc w:val="both"/>
      </w:pPr>
      <w:r>
        <w:rPr>
          <w:rFonts w:ascii="Arial" w:cs="Arial" w:eastAsia="Arial" w:hAnsi="Arial"/>
          <w:sz w:val="22"/>
          <w:szCs w:val="22"/>
        </w:rPr>
        <w:t xml:space="preserve">Além da ZFM, existem outras Áreas de Livre Comércio na Amazônia Legal e em regiões de fronteira, como Tabatinga (AM), Guajará-Mirim (RO), Brasiléia/Epitaciolândia (AC), Cruzeiro do Sul (AC), Macapá/Santana (AP) e Boa Vista/Bonfim (RR). Cada ALC tem legislação específica com benefícios fiscais voltados ao desenvolvimento regional e ao comércio de fronteira.</w:t>
      </w:r>
    </w:p>
    <w:p>
      <w:pPr>
        <w:spacing w:after="80"/>
      </w:pPr>
      <w:r>
        <w:t xml:space="preserve"/>
      </w:r>
    </w:p>
    <w:p>
      <w:r>
        <w:br w:type="page"/>
      </w:r>
    </w:p>
    <w:p>
      <w:pPr>
        <w:pStyle w:val="Heading1"/>
      </w:pPr>
      <w:r>
        <w:rPr>
          <w:rFonts w:ascii="Arial" w:cs="Arial" w:eastAsia="Arial" w:hAnsi="Arial"/>
          <w:b/>
          <w:bCs/>
          <w:color w:val="1F4E79"/>
          <w:sz w:val="32"/>
          <w:szCs w:val="32"/>
        </w:rPr>
        <w:t xml:space="preserve">PARTE VII — IMPORTAÇÃO POR CONTA E ORDEM E POR ENCOMENDA</w:t>
      </w:r>
    </w:p>
    <w:p>
      <w:pPr>
        <w:pStyle w:val="Heading2"/>
      </w:pPr>
      <w:r>
        <w:rPr>
          <w:rFonts w:ascii="Arial" w:cs="Arial" w:eastAsia="Arial" w:hAnsi="Arial"/>
          <w:b/>
          <w:bCs/>
          <w:color w:val="2E75B6"/>
          <w:sz w:val="28"/>
          <w:szCs w:val="28"/>
        </w:rPr>
        <w:t xml:space="preserve">7.1 Importação por Conta e Ordem de Terceiros</w:t>
      </w:r>
    </w:p>
    <w:p>
      <w:pPr>
        <w:spacing w:after="120"/>
        <w:jc w:val="both"/>
      </w:pPr>
      <w:r>
        <w:rPr>
          <w:rFonts w:ascii="Arial" w:cs="Arial" w:eastAsia="Arial" w:hAnsi="Arial"/>
          <w:sz w:val="22"/>
          <w:szCs w:val="22"/>
        </w:rPr>
        <w:t xml:space="preserve">Na importação por conta e ordem, uma empresa (trading company ou despachante) realiza todos os procedimentos de importação em nome próprio, mas por conta e em nome de outra empresa (adquirente). A empresa importadora age como mandatária do adquirente. Base legal: IN SRF nº 225/2002.</w:t>
      </w:r>
    </w:p>
    <w:p>
      <w:pPr>
        <w:pStyle w:val="Heading3"/>
      </w:pPr>
      <w:r>
        <w:rPr>
          <w:rFonts w:ascii="Arial" w:cs="Arial" w:eastAsia="Arial" w:hAnsi="Arial"/>
          <w:b/>
          <w:bCs/>
          <w:color w:val="2E75B6"/>
          <w:sz w:val="24"/>
          <w:szCs w:val="24"/>
        </w:rPr>
        <w:t xml:space="preserve">Características:</w:t>
      </w:r>
    </w:p>
    <w:p>
      <w:pPr>
        <w:pStyle w:val="ListParagraph"/>
        <w:numPr>
          <w:ilvl w:val="0"/>
          <w:numId w:val="2"/>
        </w:numPr>
        <w:spacing w:after="80"/>
      </w:pPr>
      <w:r>
        <w:rPr>
          <w:rFonts w:ascii="Arial" w:cs="Arial" w:eastAsia="Arial" w:hAnsi="Arial"/>
          <w:sz w:val="22"/>
          <w:szCs w:val="22"/>
        </w:rPr>
        <w:t xml:space="preserve">O adquirente é quem efetua os pagamentos ao exterior e arca com os tributos.</w:t>
      </w:r>
    </w:p>
    <w:p>
      <w:pPr>
        <w:pStyle w:val="ListParagraph"/>
        <w:numPr>
          <w:ilvl w:val="0"/>
          <w:numId w:val="2"/>
        </w:numPr>
        <w:spacing w:after="80"/>
      </w:pPr>
      <w:r>
        <w:rPr>
          <w:rFonts w:ascii="Arial" w:cs="Arial" w:eastAsia="Arial" w:hAnsi="Arial"/>
          <w:sz w:val="22"/>
          <w:szCs w:val="22"/>
        </w:rPr>
        <w:t xml:space="preserve">A trading actua como prestadora de serviços; não é a real compradora da mercadoria.</w:t>
      </w:r>
    </w:p>
    <w:p>
      <w:pPr>
        <w:pStyle w:val="ListParagraph"/>
        <w:numPr>
          <w:ilvl w:val="0"/>
          <w:numId w:val="2"/>
        </w:numPr>
        <w:spacing w:after="80"/>
      </w:pPr>
      <w:r>
        <w:rPr>
          <w:rFonts w:ascii="Arial" w:cs="Arial" w:eastAsia="Arial" w:hAnsi="Arial"/>
          <w:sz w:val="22"/>
          <w:szCs w:val="22"/>
        </w:rPr>
        <w:t xml:space="preserve">A DI deve identificar o adquirente no campo específico.</w:t>
      </w:r>
    </w:p>
    <w:p>
      <w:pPr>
        <w:pStyle w:val="ListParagraph"/>
        <w:numPr>
          <w:ilvl w:val="0"/>
          <w:numId w:val="2"/>
        </w:numPr>
        <w:spacing w:after="80"/>
      </w:pPr>
      <w:r>
        <w:rPr>
          <w:rFonts w:ascii="Arial" w:cs="Arial" w:eastAsia="Arial" w:hAnsi="Arial"/>
          <w:sz w:val="22"/>
          <w:szCs w:val="22"/>
        </w:rPr>
        <w:t xml:space="preserve">Nota Fiscal de entrada deve ser emitida pelo adquirente.</w:t>
      </w:r>
    </w:p>
    <w:p>
      <w:pPr>
        <w:pStyle w:val="ListParagraph"/>
        <w:numPr>
          <w:ilvl w:val="0"/>
          <w:numId w:val="2"/>
        </w:numPr>
        <w:spacing w:after="80"/>
      </w:pPr>
      <w:r>
        <w:rPr>
          <w:rFonts w:ascii="Arial" w:cs="Arial" w:eastAsia="Arial" w:hAnsi="Arial"/>
          <w:sz w:val="22"/>
          <w:szCs w:val="22"/>
        </w:rPr>
        <w:t xml:space="preserve">O adquirente suporta os créditos de PIS/COFINS e de IPI, quando aplicável.</w:t>
      </w:r>
    </w:p>
    <w:p>
      <w:pPr>
        <w:spacing w:after="80"/>
      </w:pPr>
      <w:r>
        <w:t xml:space="preserve"/>
      </w:r>
    </w:p>
    <w:p>
      <w:pPr>
        <w:pStyle w:val="Heading2"/>
      </w:pPr>
      <w:r>
        <w:rPr>
          <w:rFonts w:ascii="Arial" w:cs="Arial" w:eastAsia="Arial" w:hAnsi="Arial"/>
          <w:b/>
          <w:bCs/>
          <w:color w:val="2E75B6"/>
          <w:sz w:val="28"/>
          <w:szCs w:val="28"/>
        </w:rPr>
        <w:t xml:space="preserve">7.2 Importação por Encomenda</w:t>
      </w:r>
    </w:p>
    <w:p>
      <w:pPr>
        <w:spacing w:after="120"/>
        <w:jc w:val="both"/>
      </w:pPr>
      <w:r>
        <w:rPr>
          <w:rFonts w:ascii="Arial" w:cs="Arial" w:eastAsia="Arial" w:hAnsi="Arial"/>
          <w:sz w:val="22"/>
          <w:szCs w:val="22"/>
        </w:rPr>
        <w:t xml:space="preserve">Na importação por encomenda, a empresa importadora (trading) adquire a mercadoria no exterior com recursos próprios e a revende ao encomendante no mercado interno. Difere da conta e ordem porque a trading é a real compradora. Base legal: IN SRF nº 634/2006.</w:t>
      </w:r>
    </w:p>
    <w:p>
      <w:pPr>
        <w:pStyle w:val="Heading3"/>
      </w:pPr>
      <w:r>
        <w:rPr>
          <w:rFonts w:ascii="Arial" w:cs="Arial" w:eastAsia="Arial" w:hAnsi="Arial"/>
          <w:b/>
          <w:bCs/>
          <w:color w:val="2E75B6"/>
          <w:sz w:val="24"/>
          <w:szCs w:val="24"/>
        </w:rPr>
        <w:t xml:space="preserve">Características:</w:t>
      </w:r>
    </w:p>
    <w:p>
      <w:pPr>
        <w:pStyle w:val="ListParagraph"/>
        <w:numPr>
          <w:ilvl w:val="0"/>
          <w:numId w:val="2"/>
        </w:numPr>
        <w:spacing w:after="80"/>
      </w:pPr>
      <w:r>
        <w:rPr>
          <w:rFonts w:ascii="Arial" w:cs="Arial" w:eastAsia="Arial" w:hAnsi="Arial"/>
          <w:sz w:val="22"/>
          <w:szCs w:val="22"/>
        </w:rPr>
        <w:t xml:space="preserve">A trading compra a mercadoria com seus próprios recursos.</w:t>
      </w:r>
    </w:p>
    <w:p>
      <w:pPr>
        <w:pStyle w:val="ListParagraph"/>
        <w:numPr>
          <w:ilvl w:val="0"/>
          <w:numId w:val="2"/>
        </w:numPr>
        <w:spacing w:after="80"/>
      </w:pPr>
      <w:r>
        <w:rPr>
          <w:rFonts w:ascii="Arial" w:cs="Arial" w:eastAsia="Arial" w:hAnsi="Arial"/>
          <w:sz w:val="22"/>
          <w:szCs w:val="22"/>
        </w:rPr>
        <w:t xml:space="preserve">Ocorrem duas operações: a importação (trading como importadora) e a revenda interna (trading → encomendante).</w:t>
      </w:r>
    </w:p>
    <w:p>
      <w:pPr>
        <w:pStyle w:val="ListParagraph"/>
        <w:numPr>
          <w:ilvl w:val="0"/>
          <w:numId w:val="2"/>
        </w:numPr>
        <w:spacing w:after="80"/>
      </w:pPr>
      <w:r>
        <w:rPr>
          <w:rFonts w:ascii="Arial" w:cs="Arial" w:eastAsia="Arial" w:hAnsi="Arial"/>
          <w:sz w:val="22"/>
          <w:szCs w:val="22"/>
        </w:rPr>
        <w:t xml:space="preserve">O encomendante não aparece na DI.</w:t>
      </w:r>
    </w:p>
    <w:p>
      <w:pPr>
        <w:pStyle w:val="ListParagraph"/>
        <w:numPr>
          <w:ilvl w:val="0"/>
          <w:numId w:val="2"/>
        </w:numPr>
        <w:spacing w:after="80"/>
      </w:pPr>
      <w:r>
        <w:rPr>
          <w:rFonts w:ascii="Arial" w:cs="Arial" w:eastAsia="Arial" w:hAnsi="Arial"/>
          <w:sz w:val="22"/>
          <w:szCs w:val="22"/>
        </w:rPr>
        <w:t xml:space="preserve">A nota fiscal de venda da trading para o encomendante deve identificar a operação como 'importação por encomenda'.</w:t>
      </w:r>
    </w:p>
    <w:p>
      <w:pPr>
        <w:spacing w:after="80"/>
      </w:pPr>
      <w:r>
        <w:t xml:space="preserve"/>
      </w:r>
    </w:p>
    <w:p>
      <w:pPr>
        <w:pStyle w:val="Heading3"/>
      </w:pPr>
      <w:r>
        <w:rPr>
          <w:rFonts w:ascii="Arial" w:cs="Arial" w:eastAsia="Arial" w:hAnsi="Arial"/>
          <w:b/>
          <w:bCs/>
          <w:color w:val="2E75B6"/>
          <w:sz w:val="24"/>
          <w:szCs w:val="24"/>
        </w:rPr>
        <w:t xml:space="preserve">Comparativo: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Aspecto</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 e Ordem</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Encomenda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Quem paga o exterior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Adquirente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Trading</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Quem é o importador na DI</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Trading (por conta do adquirente)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Trading (por conta própria)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Adquirente aparece na DI</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Sim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Não</w:t>
            </w:r>
          </w:p>
        </w:tc>
      </w:tr>
      <w:tr>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Créditos tributários</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Do adquirente</w:t>
            </w:r>
          </w:p>
        </w:tc>
        <w:tc>
          <w:tcPr>
            <w:tcW w:type="dxa" w:w="312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Da trading na importação</w:t>
            </w:r>
          </w:p>
        </w:tc>
      </w:tr>
    </w:tbl>
    <w:p>
      <w:pPr>
        <w:spacing w:after="80"/>
      </w:pPr>
      <w:r>
        <w:t xml:space="preserve"/>
      </w:r>
    </w:p>
    <w:p>
      <w:r>
        <w:br w:type="page"/>
      </w:r>
    </w:p>
    <w:p>
      <w:pPr>
        <w:pStyle w:val="Heading1"/>
      </w:pPr>
      <w:r>
        <w:rPr>
          <w:rFonts w:ascii="Arial" w:cs="Arial" w:eastAsia="Arial" w:hAnsi="Arial"/>
          <w:b/>
          <w:bCs/>
          <w:color w:val="1F4E79"/>
          <w:sz w:val="32"/>
          <w:szCs w:val="32"/>
        </w:rPr>
        <w:t xml:space="preserve">PARTE VIII — REVISÃO ADUANEIRA PÓS-DESEMBARAÇO</w:t>
      </w:r>
    </w:p>
    <w:p>
      <w:pPr>
        <w:pStyle w:val="Heading2"/>
      </w:pPr>
      <w:r>
        <w:rPr>
          <w:rFonts w:ascii="Arial" w:cs="Arial" w:eastAsia="Arial" w:hAnsi="Arial"/>
          <w:b/>
          <w:bCs/>
          <w:color w:val="2E75B6"/>
          <w:sz w:val="28"/>
          <w:szCs w:val="28"/>
        </w:rPr>
        <w:t xml:space="preserve">8.1 Conceito e Base Legal</w:t>
      </w:r>
    </w:p>
    <w:p>
      <w:pPr>
        <w:spacing w:after="120"/>
        <w:jc w:val="both"/>
      </w:pPr>
      <w:r>
        <w:rPr>
          <w:rFonts w:ascii="Arial" w:cs="Arial" w:eastAsia="Arial" w:hAnsi="Arial"/>
          <w:sz w:val="22"/>
          <w:szCs w:val="22"/>
        </w:rPr>
        <w:t xml:space="preserve">A revisão aduaneira é o procedimento pelo qual a Receita Federal, após o desembaraço da mercadoria, verifica a regularidade da declaração de importação quanto à classificação fiscal, ao valor aduaneiro, à origem e ao correto pagamento dos tributos. Base legal: arts. 638 a 644 do Regulamento Aduaneiro (Decreto nº 6.759/2009).</w:t>
      </w:r>
    </w:p>
    <w:p>
      <w:pPr>
        <w:spacing w:after="80"/>
      </w:pPr>
      <w:r>
        <w:t xml:space="preserve"/>
      </w:r>
    </w:p>
    <w:p>
      <w:pPr>
        <w:pStyle w:val="Heading2"/>
      </w:pPr>
      <w:r>
        <w:rPr>
          <w:rFonts w:ascii="Arial" w:cs="Arial" w:eastAsia="Arial" w:hAnsi="Arial"/>
          <w:b/>
          <w:bCs/>
          <w:color w:val="2E75B6"/>
          <w:sz w:val="28"/>
          <w:szCs w:val="28"/>
        </w:rPr>
        <w:t xml:space="preserve">8.2 Prazo</w:t>
      </w:r>
    </w:p>
    <w:p>
      <w:pPr>
        <w:spacing w:after="120"/>
        <w:jc w:val="both"/>
      </w:pPr>
      <w:r>
        <w:rPr>
          <w:rFonts w:ascii="Arial" w:cs="Arial" w:eastAsia="Arial" w:hAnsi="Arial"/>
          <w:sz w:val="22"/>
          <w:szCs w:val="22"/>
        </w:rPr>
        <w:t xml:space="preserve">A revisão aduaneira pode ser realizada em até 5 anos contados da data do registro da DI (prazo decadencial previsto no art. 640 do RA). Esse prazo coincide com o prazo decadencial do CTN para o lançamento tributário.</w:t>
      </w:r>
    </w:p>
    <w:p>
      <w:pPr>
        <w:spacing w:after="80"/>
      </w:pPr>
      <w:r>
        <w:t xml:space="preserve"/>
      </w:r>
    </w:p>
    <w:p>
      <w:pPr>
        <w:pStyle w:val="Heading2"/>
      </w:pPr>
      <w:r>
        <w:rPr>
          <w:rFonts w:ascii="Arial" w:cs="Arial" w:eastAsia="Arial" w:hAnsi="Arial"/>
          <w:b/>
          <w:bCs/>
          <w:color w:val="2E75B6"/>
          <w:sz w:val="28"/>
          <w:szCs w:val="28"/>
        </w:rPr>
        <w:t xml:space="preserve">8.3 Principais Motivos de Revisão</w:t>
      </w:r>
    </w:p>
    <w:p>
      <w:pPr>
        <w:pStyle w:val="ListParagraph"/>
        <w:numPr>
          <w:ilvl w:val="0"/>
          <w:numId w:val="2"/>
        </w:numPr>
        <w:spacing w:after="80"/>
      </w:pPr>
      <w:r>
        <w:rPr>
          <w:rFonts w:ascii="Arial" w:cs="Arial" w:eastAsia="Arial" w:hAnsi="Arial"/>
          <w:sz w:val="22"/>
          <w:szCs w:val="22"/>
        </w:rPr>
        <w:t xml:space="preserve">Classificação fiscal incorreta (NCM divergente do produto real).</w:t>
      </w:r>
    </w:p>
    <w:p>
      <w:pPr>
        <w:pStyle w:val="ListParagraph"/>
        <w:numPr>
          <w:ilvl w:val="0"/>
          <w:numId w:val="2"/>
        </w:numPr>
        <w:spacing w:after="80"/>
      </w:pPr>
      <w:r>
        <w:rPr>
          <w:rFonts w:ascii="Arial" w:cs="Arial" w:eastAsia="Arial" w:hAnsi="Arial"/>
          <w:sz w:val="22"/>
          <w:szCs w:val="22"/>
        </w:rPr>
        <w:t xml:space="preserve">Subfaturamento ou supervaloração do valor aduaneiro.</w:t>
      </w:r>
    </w:p>
    <w:p>
      <w:pPr>
        <w:pStyle w:val="ListParagraph"/>
        <w:numPr>
          <w:ilvl w:val="0"/>
          <w:numId w:val="2"/>
        </w:numPr>
        <w:spacing w:after="80"/>
      </w:pPr>
      <w:r>
        <w:rPr>
          <w:rFonts w:ascii="Arial" w:cs="Arial" w:eastAsia="Arial" w:hAnsi="Arial"/>
          <w:sz w:val="22"/>
          <w:szCs w:val="22"/>
        </w:rPr>
        <w:t xml:space="preserve">Utilização indevida de benefício fiscal (isenção, redução, drawback).</w:t>
      </w:r>
    </w:p>
    <w:p>
      <w:pPr>
        <w:pStyle w:val="ListParagraph"/>
        <w:numPr>
          <w:ilvl w:val="0"/>
          <w:numId w:val="2"/>
        </w:numPr>
        <w:spacing w:after="80"/>
      </w:pPr>
      <w:r>
        <w:rPr>
          <w:rFonts w:ascii="Arial" w:cs="Arial" w:eastAsia="Arial" w:hAnsi="Arial"/>
          <w:sz w:val="22"/>
          <w:szCs w:val="22"/>
        </w:rPr>
        <w:t xml:space="preserve">Descrição incorreta da mercadoria na DI.</w:t>
      </w:r>
    </w:p>
    <w:p>
      <w:pPr>
        <w:pStyle w:val="ListParagraph"/>
        <w:numPr>
          <w:ilvl w:val="0"/>
          <w:numId w:val="2"/>
        </w:numPr>
        <w:spacing w:after="80"/>
      </w:pPr>
      <w:r>
        <w:rPr>
          <w:rFonts w:ascii="Arial" w:cs="Arial" w:eastAsia="Arial" w:hAnsi="Arial"/>
          <w:sz w:val="22"/>
          <w:szCs w:val="22"/>
        </w:rPr>
        <w:t xml:space="preserve">Origem declarada incorretamente para fins de aplicação de preferência tarifária.</w:t>
      </w:r>
    </w:p>
    <w:p>
      <w:pPr>
        <w:spacing w:after="80"/>
      </w:pPr>
      <w:r>
        <w:t xml:space="preserve"/>
      </w:r>
    </w:p>
    <w:p>
      <w:pPr>
        <w:pStyle w:val="Heading2"/>
      </w:pPr>
      <w:r>
        <w:rPr>
          <w:rFonts w:ascii="Arial" w:cs="Arial" w:eastAsia="Arial" w:hAnsi="Arial"/>
          <w:b/>
          <w:bCs/>
          <w:color w:val="2E75B6"/>
          <w:sz w:val="28"/>
          <w:szCs w:val="28"/>
        </w:rPr>
        <w:t xml:space="preserve">8.4 Procedimento</w:t>
      </w:r>
    </w:p>
    <w:p>
      <w:pPr>
        <w:pStyle w:val="ListParagraph"/>
        <w:numPr>
          <w:ilvl w:val="0"/>
          <w:numId w:val="2"/>
        </w:numPr>
        <w:spacing w:after="80"/>
      </w:pPr>
      <w:r>
        <w:rPr>
          <w:rFonts w:ascii="Arial" w:cs="Arial" w:eastAsia="Arial" w:hAnsi="Arial"/>
          <w:sz w:val="22"/>
          <w:szCs w:val="22"/>
        </w:rPr>
        <w:t xml:space="preserve">Notificação ao importador para apresentar documentos complementares.</w:t>
      </w:r>
    </w:p>
    <w:p>
      <w:pPr>
        <w:pStyle w:val="ListParagraph"/>
        <w:numPr>
          <w:ilvl w:val="0"/>
          <w:numId w:val="2"/>
        </w:numPr>
        <w:spacing w:after="80"/>
      </w:pPr>
      <w:r>
        <w:rPr>
          <w:rFonts w:ascii="Arial" w:cs="Arial" w:eastAsia="Arial" w:hAnsi="Arial"/>
          <w:sz w:val="22"/>
          <w:szCs w:val="22"/>
        </w:rPr>
        <w:t xml:space="preserve">Prazo para resposta: geralmente 20 dias (prorrogável).</w:t>
      </w:r>
    </w:p>
    <w:p>
      <w:pPr>
        <w:pStyle w:val="ListParagraph"/>
        <w:numPr>
          <w:ilvl w:val="0"/>
          <w:numId w:val="2"/>
        </w:numPr>
        <w:spacing w:after="80"/>
      </w:pPr>
      <w:r>
        <w:rPr>
          <w:rFonts w:ascii="Arial" w:cs="Arial" w:eastAsia="Arial" w:hAnsi="Arial"/>
          <w:sz w:val="22"/>
          <w:szCs w:val="22"/>
        </w:rPr>
        <w:t xml:space="preserve">Resultado: lançamento de ofício do tributo em diferença, com juros SELIC e multa de ofício (75% do valor do tributo; 150% em caso de fraude).</w:t>
      </w:r>
    </w:p>
    <w:p>
      <w:pPr>
        <w:pStyle w:val="ListParagraph"/>
        <w:numPr>
          <w:ilvl w:val="0"/>
          <w:numId w:val="2"/>
        </w:numPr>
        <w:spacing w:after="80"/>
      </w:pPr>
      <w:r>
        <w:rPr>
          <w:rFonts w:ascii="Arial" w:cs="Arial" w:eastAsia="Arial" w:hAnsi="Arial"/>
          <w:sz w:val="22"/>
          <w:szCs w:val="22"/>
        </w:rPr>
        <w:t xml:space="preserve">Recurso: DRJ → CARF → CSRF, conforme o Decreto nº 70.235/1972 (PAF).</w:t>
      </w:r>
    </w:p>
    <w:p>
      <w:pPr>
        <w:pBdr>
          <w:left w:val="single" w:color="2E75B6" w:sz="4" w:space="8"/>
        </w:pBdr>
        <w:spacing w:after="120"/>
        <w:ind w:left="360"/>
        <w:jc w:val="both"/>
      </w:pPr>
      <w:r>
        <w:rPr>
          <w:rFonts w:ascii="Arial" w:cs="Arial" w:eastAsia="Arial" w:hAnsi="Arial"/>
          <w:i/>
          <w:iCs/>
          <w:color w:val="444444"/>
          <w:sz w:val="20"/>
          <w:szCs w:val="20"/>
        </w:rPr>
        <w:t xml:space="preserve">O importador deve manter todos os documentos da importação (DI, BL, invoice, packing list, laudos) por no mínimo 5 anos contados do desembaraço, para atender eventuais revisões aduaneiras.</w:t>
      </w:r>
    </w:p>
    <w:p>
      <w:pPr>
        <w:spacing w:after="80"/>
      </w:pPr>
      <w:r>
        <w:t xml:space="preserve"/>
      </w:r>
    </w:p>
    <w:p>
      <w:r>
        <w:br w:type="page"/>
      </w:r>
    </w:p>
    <w:p>
      <w:pPr>
        <w:pStyle w:val="Heading1"/>
      </w:pPr>
      <w:r>
        <w:rPr>
          <w:rFonts w:ascii="Arial" w:cs="Arial" w:eastAsia="Arial" w:hAnsi="Arial"/>
          <w:b/>
          <w:bCs/>
          <w:color w:val="1F4E79"/>
          <w:sz w:val="32"/>
          <w:szCs w:val="32"/>
        </w:rPr>
        <w:t xml:space="preserve">PARTE IX — MODALIDADES ESPECIAIS DE IMPORTAÇÃO</w:t>
      </w:r>
    </w:p>
    <w:p>
      <w:pPr>
        <w:pStyle w:val="Heading2"/>
      </w:pPr>
      <w:r>
        <w:rPr>
          <w:rFonts w:ascii="Arial" w:cs="Arial" w:eastAsia="Arial" w:hAnsi="Arial"/>
          <w:b/>
          <w:bCs/>
          <w:color w:val="2E75B6"/>
          <w:sz w:val="28"/>
          <w:szCs w:val="28"/>
        </w:rPr>
        <w:t xml:space="preserve">9.1 Importação de Serviços</w:t>
      </w:r>
    </w:p>
    <w:p>
      <w:pPr>
        <w:spacing w:after="120"/>
        <w:jc w:val="both"/>
      </w:pPr>
      <w:r>
        <w:rPr>
          <w:rFonts w:ascii="Arial" w:cs="Arial" w:eastAsia="Arial" w:hAnsi="Arial"/>
          <w:sz w:val="22"/>
          <w:szCs w:val="22"/>
        </w:rPr>
        <w:t xml:space="preserve">A importação de serviços ocorre quando o prestador está sediado no exterior e o tomador no Brasil. Diferentemente da importação de bens, não há despacho aduaneiro; o controle é feito pelo Banco Central (BACEN) via contrato de câmbio e pela Receita Federal via retenção de tributos na fonte.</w:t>
      </w:r>
    </w:p>
    <w:p>
      <w:pPr>
        <w:pStyle w:val="Heading3"/>
      </w:pPr>
      <w:r>
        <w:rPr>
          <w:rFonts w:ascii="Arial" w:cs="Arial" w:eastAsia="Arial" w:hAnsi="Arial"/>
          <w:b/>
          <w:bCs/>
          <w:color w:val="2E75B6"/>
          <w:sz w:val="24"/>
          <w:szCs w:val="24"/>
        </w:rPr>
        <w:t xml:space="preserve">Tributos incidentes na importação de serviços:</w:t>
      </w:r>
    </w:p>
    <w:p>
      <w:pPr>
        <w:pStyle w:val="ListParagraph"/>
        <w:numPr>
          <w:ilvl w:val="0"/>
          <w:numId w:val="2"/>
        </w:numPr>
        <w:spacing w:after="80"/>
      </w:pPr>
      <w:r>
        <w:rPr>
          <w:rFonts w:ascii="Arial" w:cs="Arial" w:eastAsia="Arial" w:hAnsi="Arial"/>
          <w:sz w:val="22"/>
          <w:szCs w:val="22"/>
        </w:rPr>
        <w:t xml:space="preserve">CIDE-Tecnologia: 10% sobre remessas de royalties, assistência técnica, serviços técnicos (Lei nº 10.168/2000).</w:t>
      </w:r>
    </w:p>
    <w:p>
      <w:pPr>
        <w:pStyle w:val="ListParagraph"/>
        <w:numPr>
          <w:ilvl w:val="0"/>
          <w:numId w:val="2"/>
        </w:numPr>
        <w:spacing w:after="80"/>
      </w:pPr>
      <w:r>
        <w:rPr>
          <w:rFonts w:ascii="Arial" w:cs="Arial" w:eastAsia="Arial" w:hAnsi="Arial"/>
          <w:sz w:val="22"/>
          <w:szCs w:val="22"/>
        </w:rPr>
        <w:t xml:space="preserve">PIS/COFINS-Importação de serviços: 1,65% (PIS) + 7,6% (COFINS) sobre o valor da remessa (Lei nº 10.865/2004).</w:t>
      </w:r>
    </w:p>
    <w:p>
      <w:pPr>
        <w:pStyle w:val="ListParagraph"/>
        <w:numPr>
          <w:ilvl w:val="0"/>
          <w:numId w:val="2"/>
        </w:numPr>
        <w:spacing w:after="80"/>
      </w:pPr>
      <w:r>
        <w:rPr>
          <w:rFonts w:ascii="Arial" w:cs="Arial" w:eastAsia="Arial" w:hAnsi="Arial"/>
          <w:sz w:val="22"/>
          <w:szCs w:val="22"/>
        </w:rPr>
        <w:t xml:space="preserve">ISS: 2% a 5% conforme legislação municipal do tomador.</w:t>
      </w:r>
    </w:p>
    <w:p>
      <w:pPr>
        <w:pStyle w:val="ListParagraph"/>
        <w:numPr>
          <w:ilvl w:val="0"/>
          <w:numId w:val="2"/>
        </w:numPr>
        <w:spacing w:after="80"/>
      </w:pPr>
      <w:r>
        <w:rPr>
          <w:rFonts w:ascii="Arial" w:cs="Arial" w:eastAsia="Arial" w:hAnsi="Arial"/>
          <w:sz w:val="22"/>
          <w:szCs w:val="22"/>
        </w:rPr>
        <w:t xml:space="preserve">IRRF: 15% sobre remessas para países sem acordo de bitributação; 25% para países com tributação favorecida.</w:t>
      </w:r>
    </w:p>
    <w:p>
      <w:pPr>
        <w:pStyle w:val="ListParagraph"/>
        <w:numPr>
          <w:ilvl w:val="0"/>
          <w:numId w:val="2"/>
        </w:numPr>
        <w:spacing w:after="80"/>
      </w:pPr>
      <w:r>
        <w:rPr>
          <w:rFonts w:ascii="Arial" w:cs="Arial" w:eastAsia="Arial" w:hAnsi="Arial"/>
          <w:sz w:val="22"/>
          <w:szCs w:val="22"/>
        </w:rPr>
        <w:t xml:space="preserve">IOF-Câmbio: 0,38% sobre o câmbio contratado.</w:t>
      </w:r>
    </w:p>
    <w:p>
      <w:pPr>
        <w:spacing w:after="80"/>
      </w:pPr>
      <w:r>
        <w:t xml:space="preserve"/>
      </w:r>
    </w:p>
    <w:p>
      <w:pPr>
        <w:pStyle w:val="Heading2"/>
      </w:pPr>
      <w:r>
        <w:rPr>
          <w:rFonts w:ascii="Arial" w:cs="Arial" w:eastAsia="Arial" w:hAnsi="Arial"/>
          <w:b/>
          <w:bCs/>
          <w:color w:val="2E75B6"/>
          <w:sz w:val="28"/>
          <w:szCs w:val="28"/>
        </w:rPr>
        <w:t xml:space="preserve">9.2 Importação de Bagagem</w:t>
      </w:r>
    </w:p>
    <w:p>
      <w:pPr>
        <w:spacing w:after="120"/>
        <w:jc w:val="both"/>
      </w:pPr>
      <w:r>
        <w:rPr>
          <w:rFonts w:ascii="Arial" w:cs="Arial" w:eastAsia="Arial" w:hAnsi="Arial"/>
          <w:sz w:val="22"/>
          <w:szCs w:val="22"/>
        </w:rPr>
        <w:t xml:space="preserve">A importação de bagagem acompanhada e desacompanhada está regulada pela IN RFB nº 1.059/2010. O viajante pode importar sem pagamento de tributos (cota de isenção):</w:t>
      </w:r>
    </w:p>
    <w:p>
      <w:pPr>
        <w:pStyle w:val="ListParagraph"/>
        <w:numPr>
          <w:ilvl w:val="0"/>
          <w:numId w:val="2"/>
        </w:numPr>
        <w:spacing w:after="80"/>
      </w:pPr>
      <w:r>
        <w:rPr>
          <w:rFonts w:ascii="Arial" w:cs="Arial" w:eastAsia="Arial" w:hAnsi="Arial"/>
          <w:sz w:val="22"/>
          <w:szCs w:val="22"/>
        </w:rPr>
        <w:t xml:space="preserve">Bagagem acompanhada (chegada por via aérea ou marítima): USD 500 ou equivalente.</w:t>
      </w:r>
    </w:p>
    <w:p>
      <w:pPr>
        <w:pStyle w:val="ListParagraph"/>
        <w:numPr>
          <w:ilvl w:val="0"/>
          <w:numId w:val="2"/>
        </w:numPr>
        <w:spacing w:after="80"/>
      </w:pPr>
      <w:r>
        <w:rPr>
          <w:rFonts w:ascii="Arial" w:cs="Arial" w:eastAsia="Arial" w:hAnsi="Arial"/>
          <w:sz w:val="22"/>
          <w:szCs w:val="22"/>
        </w:rPr>
        <w:t xml:space="preserve">Bagagem acompanhada (chegada por via terrestre, fluvial ou lacustre): USD 300 ou equivalente.</w:t>
      </w:r>
    </w:p>
    <w:p>
      <w:pPr>
        <w:pStyle w:val="ListParagraph"/>
        <w:numPr>
          <w:ilvl w:val="0"/>
          <w:numId w:val="2"/>
        </w:numPr>
        <w:spacing w:after="80"/>
      </w:pPr>
      <w:r>
        <w:rPr>
          <w:rFonts w:ascii="Arial" w:cs="Arial" w:eastAsia="Arial" w:hAnsi="Arial"/>
          <w:sz w:val="22"/>
          <w:szCs w:val="22"/>
        </w:rPr>
        <w:t xml:space="preserve">Bagagem desacompanhada: mesmos limites, desde que remetida antes ou após a viagem.</w:t>
      </w:r>
    </w:p>
    <w:p>
      <w:pPr>
        <w:spacing w:after="120"/>
        <w:jc w:val="both"/>
      </w:pPr>
      <w:r>
        <w:rPr>
          <w:rFonts w:ascii="Arial" w:cs="Arial" w:eastAsia="Arial" w:hAnsi="Arial"/>
          <w:sz w:val="22"/>
          <w:szCs w:val="22"/>
        </w:rPr>
        <w:t xml:space="preserve">Bens acima da cota de isenção ficam sujeitos ao pagamento do Imposto de Importação à alíquota única de 50% sobre o valor excedente.</w:t>
      </w:r>
    </w:p>
    <w:p>
      <w:pPr>
        <w:spacing w:after="80"/>
      </w:pPr>
      <w:r>
        <w:t xml:space="preserve"/>
      </w:r>
    </w:p>
    <w:p>
      <w:pPr>
        <w:pStyle w:val="Heading2"/>
      </w:pPr>
      <w:r>
        <w:rPr>
          <w:rFonts w:ascii="Arial" w:cs="Arial" w:eastAsia="Arial" w:hAnsi="Arial"/>
          <w:b/>
          <w:bCs/>
          <w:color w:val="2E75B6"/>
          <w:sz w:val="28"/>
          <w:szCs w:val="28"/>
        </w:rPr>
        <w:t xml:space="preserve">9.3 Remessas Postais e Encomendas Internacionais</w:t>
      </w:r>
    </w:p>
    <w:p>
      <w:pPr>
        <w:spacing w:after="120"/>
        <w:jc w:val="both"/>
      </w:pPr>
      <w:r>
        <w:rPr>
          <w:rFonts w:ascii="Arial" w:cs="Arial" w:eastAsia="Arial" w:hAnsi="Arial"/>
          <w:sz w:val="22"/>
          <w:szCs w:val="22"/>
        </w:rPr>
        <w:t xml:space="preserve">As remessas postais (correios) e encomendas expressas (courier) têm tratamento específico. A IN RFB nº 1.737/2017 e a IN RFB nº 1.901/2019 regulam o despacho aduaneiro simplificado dessas mercadorias.</w:t>
      </w:r>
    </w:p>
    <w:p>
      <w:pPr>
        <w:pStyle w:val="Heading3"/>
      </w:pPr>
      <w:r>
        <w:rPr>
          <w:rFonts w:ascii="Arial" w:cs="Arial" w:eastAsia="Arial" w:hAnsi="Arial"/>
          <w:b/>
          <w:bCs/>
          <w:color w:val="2E75B6"/>
          <w:sz w:val="24"/>
          <w:szCs w:val="24"/>
        </w:rPr>
        <w:t xml:space="preserve">Tratamento por valor:</w:t>
      </w:r>
    </w:p>
    <w:p>
      <w:pPr>
        <w:pStyle w:val="ListParagraph"/>
        <w:numPr>
          <w:ilvl w:val="0"/>
          <w:numId w:val="2"/>
        </w:numPr>
        <w:spacing w:after="80"/>
      </w:pPr>
      <w:r>
        <w:rPr>
          <w:rFonts w:ascii="Arial" w:cs="Arial" w:eastAsia="Arial" w:hAnsi="Arial"/>
          <w:sz w:val="22"/>
          <w:szCs w:val="22"/>
        </w:rPr>
        <w:t xml:space="preserve">Até USD 50 (pessoa física para pessoa física): isento de II e IPI.</w:t>
      </w:r>
    </w:p>
    <w:p>
      <w:pPr>
        <w:pStyle w:val="ListParagraph"/>
        <w:numPr>
          <w:ilvl w:val="0"/>
          <w:numId w:val="2"/>
        </w:numPr>
        <w:spacing w:after="80"/>
      </w:pPr>
      <w:r>
        <w:rPr>
          <w:rFonts w:ascii="Arial" w:cs="Arial" w:eastAsia="Arial" w:hAnsi="Arial"/>
          <w:sz w:val="22"/>
          <w:szCs w:val="22"/>
        </w:rPr>
        <w:t xml:space="preserve">De USD 50 a USD 500 (pessoa física): sujeito ao Regime de Tributação Simplificada (RTS) — alíquota única de 60% de II.</w:t>
      </w:r>
    </w:p>
    <w:p>
      <w:pPr>
        <w:pStyle w:val="ListParagraph"/>
        <w:numPr>
          <w:ilvl w:val="0"/>
          <w:numId w:val="2"/>
        </w:numPr>
        <w:spacing w:after="80"/>
      </w:pPr>
      <w:r>
        <w:rPr>
          <w:rFonts w:ascii="Arial" w:cs="Arial" w:eastAsia="Arial" w:hAnsi="Arial"/>
          <w:sz w:val="22"/>
          <w:szCs w:val="22"/>
        </w:rPr>
        <w:t xml:space="preserve">Acima de USD 500 ou para pessoa jurídica: sujeito ao despacho aduaneiro comum.</w:t>
      </w:r>
    </w:p>
    <w:p>
      <w:pPr>
        <w:pBdr>
          <w:left w:val="single" w:color="2E75B6" w:sz="4" w:space="8"/>
        </w:pBdr>
        <w:spacing w:after="120"/>
        <w:ind w:left="360"/>
        <w:jc w:val="both"/>
      </w:pPr>
      <w:r>
        <w:rPr>
          <w:rFonts w:ascii="Arial" w:cs="Arial" w:eastAsia="Arial" w:hAnsi="Arial"/>
          <w:i/>
          <w:iCs/>
          <w:color w:val="444444"/>
          <w:sz w:val="20"/>
          <w:szCs w:val="20"/>
        </w:rPr>
        <w:t xml:space="preserve">Atenção: a partir de 2024, o governo federal passou a exigir que plataformas de e-commerce internacional (Shopee, Shein, AliExpress etc.) recolham o II sobre todas as compras, independentemente do valor, à alíquota de 20%.</w:t>
      </w:r>
    </w:p>
    <w:p>
      <w:pPr>
        <w:spacing w:after="80"/>
      </w:pPr>
      <w:r>
        <w:t xml:space="preserve"/>
      </w:r>
    </w:p>
    <w:p>
      <w:pPr>
        <w:pStyle w:val="Heading2"/>
      </w:pPr>
      <w:r>
        <w:rPr>
          <w:rFonts w:ascii="Arial" w:cs="Arial" w:eastAsia="Arial" w:hAnsi="Arial"/>
          <w:b/>
          <w:bCs/>
          <w:color w:val="2E75B6"/>
          <w:sz w:val="28"/>
          <w:szCs w:val="28"/>
        </w:rPr>
        <w:t xml:space="preserve">9.4 Importação de Amostras Sem Valor Comercial</w:t>
      </w:r>
    </w:p>
    <w:p>
      <w:pPr>
        <w:spacing w:after="120"/>
        <w:jc w:val="both"/>
      </w:pPr>
      <w:r>
        <w:rPr>
          <w:rFonts w:ascii="Arial" w:cs="Arial" w:eastAsia="Arial" w:hAnsi="Arial"/>
          <w:sz w:val="22"/>
          <w:szCs w:val="22"/>
        </w:rPr>
        <w:t xml:space="preserve">Amostras sem valor comercial — mercadorias importadas gratuitamente para fins de análise, avaliação ou divulgação — podem ser importadas com isenção do II e IPI, desde que:</w:t>
      </w:r>
    </w:p>
    <w:p>
      <w:pPr>
        <w:pStyle w:val="ListParagraph"/>
        <w:numPr>
          <w:ilvl w:val="0"/>
          <w:numId w:val="2"/>
        </w:numPr>
        <w:spacing w:after="80"/>
      </w:pPr>
      <w:r>
        <w:rPr>
          <w:rFonts w:ascii="Arial" w:cs="Arial" w:eastAsia="Arial" w:hAnsi="Arial"/>
          <w:sz w:val="22"/>
          <w:szCs w:val="22"/>
        </w:rPr>
        <w:t xml:space="preserve">Não sejam destinadas à comercialização.</w:t>
      </w:r>
    </w:p>
    <w:p>
      <w:pPr>
        <w:pStyle w:val="ListParagraph"/>
        <w:numPr>
          <w:ilvl w:val="0"/>
          <w:numId w:val="2"/>
        </w:numPr>
        <w:spacing w:after="80"/>
      </w:pPr>
      <w:r>
        <w:rPr>
          <w:rFonts w:ascii="Arial" w:cs="Arial" w:eastAsia="Arial" w:hAnsi="Arial"/>
          <w:sz w:val="22"/>
          <w:szCs w:val="22"/>
        </w:rPr>
        <w:t xml:space="preserve">Sejam inutilizadas (perfuradas, recortadas, marcadas) de forma a impedir seu uso normal.</w:t>
      </w:r>
    </w:p>
    <w:p>
      <w:pPr>
        <w:pStyle w:val="ListParagraph"/>
        <w:numPr>
          <w:ilvl w:val="0"/>
          <w:numId w:val="2"/>
        </w:numPr>
        <w:spacing w:after="80"/>
      </w:pPr>
      <w:r>
        <w:rPr>
          <w:rFonts w:ascii="Arial" w:cs="Arial" w:eastAsia="Arial" w:hAnsi="Arial"/>
          <w:sz w:val="22"/>
          <w:szCs w:val="22"/>
        </w:rPr>
        <w:t xml:space="preserve">Seu valor total não ultrapasse USD 100 (para amostras com valor inferior).</w:t>
      </w:r>
    </w:p>
    <w:p>
      <w:pPr>
        <w:spacing w:after="120"/>
        <w:jc w:val="both"/>
      </w:pPr>
      <w:r>
        <w:rPr>
          <w:rFonts w:ascii="Arial" w:cs="Arial" w:eastAsia="Arial" w:hAnsi="Arial"/>
          <w:sz w:val="22"/>
          <w:szCs w:val="22"/>
        </w:rPr>
        <w:t xml:space="preserve">Base legal: art. 139 do Regulamento Aduaneiro (Decreto nº 6.759/2009).</w:t>
      </w:r>
    </w:p>
    <w:p>
      <w:pPr>
        <w:spacing w:after="80"/>
      </w:pPr>
      <w:r>
        <w:t xml:space="preserve"/>
      </w:r>
    </w:p>
    <w:p>
      <w:r>
        <w:br w:type="page"/>
      </w:r>
    </w:p>
    <w:p>
      <w:pPr>
        <w:pStyle w:val="Heading1"/>
      </w:pPr>
      <w:r>
        <w:rPr>
          <w:rFonts w:ascii="Arial" w:cs="Arial" w:eastAsia="Arial" w:hAnsi="Arial"/>
          <w:b/>
          <w:bCs/>
          <w:color w:val="1F4E79"/>
          <w:sz w:val="32"/>
          <w:szCs w:val="32"/>
        </w:rPr>
        <w:t xml:space="preserve">PARTE X — GLOSSÁRIO ADUANEIRO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Termo</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Adquirente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Pessoa jurídica que recebe a mercadoria em operação de importação por conta e ordem.</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AFRMM</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Adicional ao Frete para Renovação da Marinha Mercante — contribuição de 25% sobre o frete marítimo internacional.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Canal Cinza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Canal de conferência para controle aduaneiro especial, com verificação de valoração e possível antidumping.</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CAMEX</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Câmara de Comércio Exterior — órgão que define políticas de comércio exterior e aplica medidas de defesa comercial.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Desembaraço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Ato final do despacho aduaneiro pelo qual a RFB libera a mercadoria ao importador.</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DI</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Declaração de Importação — documento eletrônico no SISCOMEX que formaliza o despacho de importação.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DUIMP</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Declaração Única de Importação — substituirá gradualmente a DI no contexto do Portal Único.</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DVA</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Dúvida sobre o Valor Aduaneiro — procedimento quando a RFB questiona o valor declarado na DI.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Drawback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Regime especial que suspende ou isenta tributos na importação de insumos para produtos exportados.</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Ex-Tarifário</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Redução da alíquota do II para bens de capital ou informática sem similar nacional.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Fato Gerador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Evento que dá origem à obrigação tributária. No II: a entrada da mercadoria no território aduaneiro.</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ICMS</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Imposto estadual sobre circulação de mercadorias; também incide na importação.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Incoterm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Termo de comércio internacional que define a divisão de responsabilidades entre exportador e importador.</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Licenciamento de Importação — autorização administrativa prévia exigida para determinadas mercadorias.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LPCO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Licenças, Permissões, Certificados e Outros Atos — novo modelo unificado que substitui o LI no contexto do Portal Único.</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NCM</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Nomenclatura Comum do Mercosul — sistema de 8 dígitos para classificação fiscal de mercadorias.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Perdimento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Pena administrativa que transfere compulsoriamente a propriedade da mercadoria para o Estado.</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RADAR</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Registro e Rastreamento da Atuação dos Intervenientes Aduaneiros — habilitação na RFB para operar no comércio exterior.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RECOF</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Regime Aduaneiro Especial de Entreposto Industrial sob Controle Informatizado.</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SISCOMEX</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Sistema Integrado de Comércio Exterior — plataforma governamental para registro e controle de operações.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TEC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Tarifa Externa Comum do Mercosul — tabela de alíquotas do II aplicadas pelos países do bloco.</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TIPI</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Tabela de Incidência do IPI — lista de alíquotas do IPI por NCM.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Valor Aduaneiro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sz w:val="20"/>
                <w:szCs w:val="20"/>
              </w:rPr>
              <w:t xml:space="preserve">Base de cálculo do II, determinada pelo Acordo de Valoração GATT/OMC. Corresponde ao valor CIF.</w:t>
            </w:r>
          </w:p>
        </w:tc>
      </w:tr>
      <w:tr>
        <w:tc>
          <w:tcPr>
            <w:tcW w:type="dxa" w:w="240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ZFM</w:t>
            </w:r>
          </w:p>
        </w:tc>
        <w:tc>
          <w:tcPr>
            <w:tcW w:type="dxa" w:w="6960"/>
            <w:tcBorders>
              <w:top w:val="single" w:color="CCCCCC" w:sz="1"/>
              <w:left w:val="single" w:color="CCCCCC" w:sz="1"/>
              <w:bottom w:val="single" w:color="CCCCCC" w:sz="1"/>
              <w:right w:val="single" w:color="CCCCCC" w:sz="1"/>
            </w:tcBorders>
            <w:shd w:fill="F0F5FF" w:val="clear"/>
            <w:tcMar>
              <w:top w:type="dxa" w:w="80"/>
              <w:left w:type="dxa" w:w="120"/>
              <w:bottom w:type="dxa" w:w="80"/>
              <w:right w:type="dxa" w:w="120"/>
            </w:tcMar>
            <w:vAlign w:val="center"/>
          </w:tcPr>
          <w:p>
            <w:r>
              <w:rPr>
                <w:rFonts w:ascii="Arial" w:cs="Arial" w:eastAsia="Arial" w:hAnsi="Arial"/>
                <w:b w:val="false"/>
                <w:bCs w:val="false"/>
                <w:sz w:val="20"/>
                <w:szCs w:val="20"/>
              </w:rPr>
              <w:t xml:space="preserve">Zona Franca de Manaus — área de livre comércio com incentivos fiscais para importação.</w:t>
            </w:r>
          </w:p>
        </w:tc>
      </w:tr>
    </w:tbl>
    <w:p>
      <w:pPr>
        <w:spacing w:after="80"/>
      </w:pPr>
      <w:r>
        <w:t xml:space="preserve"/>
      </w:r>
    </w:p>
    <w:p>
      <w:r>
        <w:br w:type="page"/>
      </w:r>
    </w:p>
    <w:p>
      <w:pPr>
        <w:spacing w:after="240" w:before="720"/>
        <w:jc w:val="center"/>
      </w:pPr>
      <w:r>
        <w:rPr>
          <w:rFonts w:ascii="Arial" w:cs="Arial" w:eastAsia="Arial" w:hAnsi="Arial"/>
          <w:b/>
          <w:bCs/>
          <w:color w:val="1F4E79"/>
          <w:sz w:val="28"/>
          <w:szCs w:val="28"/>
        </w:rPr>
        <w:t xml:space="preserve">NOTA SOBRE ESTE COMPÊNDIO</w:t>
      </w:r>
    </w:p>
    <w:p>
      <w:pPr>
        <w:spacing w:after="120"/>
        <w:jc w:val="both"/>
      </w:pPr>
      <w:r>
        <w:rPr>
          <w:rFonts w:ascii="Arial" w:cs="Arial" w:eastAsia="Arial" w:hAnsi="Arial"/>
          <w:sz w:val="22"/>
          <w:szCs w:val="22"/>
        </w:rPr>
        <w:t xml:space="preserve">Este compêndio constitui a versão 3 do Manual de Importação da Seal Service, incorporando todos os temas relevantes para operações aduaneiras. Foi elaborado com base no Manual de Importação da Receita Federal do Brasil, no Regulamento Aduaneiro (Decreto nº 6.759/2009), no Decreto-Lei nº 37/1966, nas Instruções Normativas vigentes e nos acordos internacionais dos quais o Brasil é signatário.</w:t>
      </w:r>
    </w:p>
    <w:p>
      <w:pPr>
        <w:spacing w:after="120"/>
        <w:jc w:val="both"/>
      </w:pPr>
      <w:r>
        <w:rPr>
          <w:rFonts w:ascii="Arial" w:cs="Arial" w:eastAsia="Arial" w:hAnsi="Arial"/>
          <w:sz w:val="22"/>
          <w:szCs w:val="22"/>
        </w:rPr>
        <w:t xml:space="preserve">Reflete a legislação vigente em abril de 2026. Para situações específicas, consulte sempre profissional habilitado e a legislação atualizada.</w:t>
      </w:r>
    </w:p>
    <w:p>
      <w:pPr>
        <w:spacing w:after="80"/>
      </w:pPr>
      <w:r>
        <w:t xml:space="preserve"/>
      </w:r>
    </w:p>
    <w:p>
      <w:pPr>
        <w:spacing w:after="120" w:before="360"/>
        <w:jc w:val="center"/>
      </w:pPr>
      <w:r>
        <w:rPr>
          <w:rFonts w:ascii="Arial" w:cs="Arial" w:eastAsia="Arial" w:hAnsi="Arial"/>
          <w:b/>
          <w:bCs/>
          <w:color w:val="2E75B6"/>
          <w:sz w:val="22"/>
          <w:szCs w:val="22"/>
        </w:rPr>
        <w:t xml:space="preserve">Seal Service — Comissária de Despacho e Consultoria Aduaneira</w:t>
      </w:r>
    </w:p>
    <w:p>
      <w:pPr>
        <w:jc w:val="center"/>
      </w:pPr>
      <w:r>
        <w:rPr>
          <w:rFonts w:ascii="Arial" w:cs="Arial" w:eastAsia="Arial" w:hAnsi="Arial"/>
          <w:i/>
          <w:iCs/>
          <w:color w:val="666666"/>
          <w:sz w:val="20"/>
          <w:szCs w:val="20"/>
        </w:rPr>
        <w:t xml:space="preserve">Versão 3 — Abril de 2026</w:t>
      </w:r>
    </w:p>
    <w:sectPr>
      <w:headerReference w:type="default" r:id="rId7"/>
      <w:footerReference w:type="default" r:id="rId8"/>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8"/>
        <w:szCs w:val="18"/>
      </w:rPr>
      <w:t xml:space="preserve">Página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r>
      <w:rPr>
        <w:rFonts w:ascii="Arial" w:cs="Arial" w:eastAsia="Arial" w:hAnsi="Arial"/>
        <w:color w:val="666666"/>
        <w:sz w:val="18"/>
        <w:szCs w:val="18"/>
      </w:rPr>
      <w:t xml:space="preserve">  |  Abril 2026  |  Seal Service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2E75B6"/>
        <w:sz w:val="18"/>
        <w:szCs w:val="18"/>
      </w:rPr>
      <w:t xml:space="preserve">SEAL SERVICE  |  Compêndio Aduaneiro — Manual de Importação — Versão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2026-04-27T15:30:50.691Z</dcterms:created>
  <dcterms:modified xsi:type="dcterms:W3CDTF">2026-04-27T15:30:50.691Z</dcterms:modified>
</cp:coreProperties>
</file>

<file path=docProps/custom.xml><?xml version="1.0" encoding="utf-8"?>
<Properties xmlns="http://schemas.openxmlformats.org/officeDocument/2006/custom-properties" xmlns:vt="http://schemas.openxmlformats.org/officeDocument/2006/docPropsVTypes"/>
</file>