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D98A" w14:textId="49070F33" w:rsidR="00777F57" w:rsidRDefault="00777F57" w:rsidP="00777F57">
      <w:pPr>
        <w:jc w:val="center"/>
        <w:rPr>
          <w:b/>
          <w:sz w:val="24"/>
        </w:rPr>
      </w:pPr>
      <w:r>
        <w:rPr>
          <w:b/>
          <w:sz w:val="24"/>
        </w:rPr>
        <w:t xml:space="preserve">Georgia </w:t>
      </w:r>
      <w:r w:rsidR="00323EDE" w:rsidRPr="00371EDF">
        <w:rPr>
          <w:b/>
          <w:sz w:val="24"/>
        </w:rPr>
        <w:t>Pathology Infrastructure Call Agenda</w:t>
      </w:r>
    </w:p>
    <w:p w14:paraId="2EDEFF87" w14:textId="6D0E204D" w:rsidR="00777F57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>Tuesday 7/3/2018</w:t>
      </w:r>
    </w:p>
    <w:p w14:paraId="51FA25D4" w14:textId="7A392CCE" w:rsidR="00EA26F2" w:rsidRPr="00EA26F2" w:rsidRDefault="00EA26F2" w:rsidP="00EA26F2">
      <w:pPr>
        <w:spacing w:after="0"/>
        <w:jc w:val="center"/>
        <w:rPr>
          <w:sz w:val="20"/>
        </w:rPr>
      </w:pPr>
      <w:r w:rsidRPr="00EA26F2">
        <w:rPr>
          <w:sz w:val="20"/>
        </w:rPr>
        <w:t xml:space="preserve">1:00 – 2:00pm </w:t>
      </w:r>
      <w:proofErr w:type="spellStart"/>
      <w:r w:rsidR="000A3BCE">
        <w:rPr>
          <w:sz w:val="20"/>
        </w:rPr>
        <w:t>est</w:t>
      </w:r>
      <w:proofErr w:type="spellEnd"/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466546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05420E1B" w14:textId="77777777" w:rsidR="007C27F1" w:rsidRDefault="007C27F1" w:rsidP="007C27F1">
      <w:pPr>
        <w:pStyle w:val="ListParagraph"/>
      </w:pPr>
    </w:p>
    <w:p w14:paraId="0060C976" w14:textId="77369D6B" w:rsidR="00323EDE" w:rsidRDefault="00323EDE" w:rsidP="00323EDE">
      <w:pPr>
        <w:pStyle w:val="ListParagraph"/>
        <w:numPr>
          <w:ilvl w:val="0"/>
          <w:numId w:val="1"/>
        </w:numPr>
      </w:pPr>
      <w:r>
        <w:t>Review and refine registry infrastructure (tools, transfer mechanisms, pathology processing systems)</w:t>
      </w:r>
    </w:p>
    <w:p w14:paraId="62A11CBC" w14:textId="2F71ACFA" w:rsidR="0013647C" w:rsidRDefault="00242568" w:rsidP="00BD7EF8">
      <w:pPr>
        <w:pStyle w:val="ListParagraph"/>
        <w:numPr>
          <w:ilvl w:val="1"/>
          <w:numId w:val="4"/>
        </w:numPr>
      </w:pPr>
      <w:r>
        <w:t>Were there any specific reasons for choosing the individual pathology routes at your registry</w:t>
      </w:r>
      <w:r w:rsidR="0013647C">
        <w:t>?</w:t>
      </w:r>
      <w:r>
        <w:t xml:space="preserve"> (e.g. certain labs had</w:t>
      </w:r>
      <w:r w:rsidR="00DE41BA">
        <w:t xml:space="preserve"> certain technical requirements)</w:t>
      </w:r>
    </w:p>
    <w:p w14:paraId="3705BEA6" w14:textId="4806B3F6" w:rsidR="00581186" w:rsidRDefault="00581186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AIM: </w:t>
      </w:r>
      <w:r w:rsidR="00070F73">
        <w:rPr>
          <w:color w:val="0070C0"/>
        </w:rPr>
        <w:t xml:space="preserve">Per NCI/SEER guideline </w:t>
      </w:r>
      <w:r>
        <w:rPr>
          <w:color w:val="0070C0"/>
        </w:rPr>
        <w:t xml:space="preserve">chose hospitals and labs that </w:t>
      </w:r>
      <w:r w:rsidR="007A07BE">
        <w:rPr>
          <w:color w:val="0070C0"/>
        </w:rPr>
        <w:t>report &gt;500 cases/year</w:t>
      </w:r>
    </w:p>
    <w:p w14:paraId="6929B2A0" w14:textId="079EA476" w:rsidR="00581186" w:rsidRDefault="00581186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>For PHINMS: Labs that worked with CDC or labs that the state DPH</w:t>
      </w:r>
      <w:r w:rsidR="007A07BE">
        <w:rPr>
          <w:color w:val="0070C0"/>
        </w:rPr>
        <w:t xml:space="preserve"> identified</w:t>
      </w:r>
    </w:p>
    <w:p w14:paraId="6C17F18C" w14:textId="77777777" w:rsidR="00070F73" w:rsidRPr="009859E0" w:rsidRDefault="00070F73" w:rsidP="00581186">
      <w:pPr>
        <w:pStyle w:val="ListParagraph"/>
        <w:ind w:left="1440"/>
        <w:rPr>
          <w:color w:val="0070C0"/>
          <w:sz w:val="16"/>
          <w:szCs w:val="16"/>
        </w:rPr>
      </w:pPr>
    </w:p>
    <w:p w14:paraId="1F959657" w14:textId="0ADC9BED" w:rsidR="00242568" w:rsidRDefault="00242568" w:rsidP="00BD7EF8">
      <w:pPr>
        <w:pStyle w:val="ListParagraph"/>
        <w:numPr>
          <w:ilvl w:val="1"/>
          <w:numId w:val="4"/>
        </w:numPr>
      </w:pPr>
      <w:r>
        <w:t>Who reaches out to the labs at your registry or do the labs reach out to you?</w:t>
      </w:r>
      <w:r w:rsidR="00581186">
        <w:t xml:space="preserve"> </w:t>
      </w:r>
    </w:p>
    <w:p w14:paraId="3D29339C" w14:textId="77777777" w:rsidR="006F3EBA" w:rsidRDefault="006F3EBA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AIM: I reach out to </w:t>
      </w:r>
      <w:proofErr w:type="gramStart"/>
      <w:r>
        <w:rPr>
          <w:color w:val="0070C0"/>
        </w:rPr>
        <w:t>facilities that are eligible</w:t>
      </w:r>
      <w:proofErr w:type="gramEnd"/>
      <w:r>
        <w:rPr>
          <w:color w:val="0070C0"/>
        </w:rPr>
        <w:t xml:space="preserve">. </w:t>
      </w:r>
    </w:p>
    <w:p w14:paraId="4C5687D9" w14:textId="245445F3" w:rsidR="00581186" w:rsidRDefault="006F3EBA" w:rsidP="0058118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For PHINMS: </w:t>
      </w:r>
      <w:r w:rsidR="00581186" w:rsidRPr="00581186">
        <w:rPr>
          <w:color w:val="0070C0"/>
        </w:rPr>
        <w:t>CDC</w:t>
      </w:r>
      <w:r w:rsidR="007A07BE">
        <w:rPr>
          <w:color w:val="0070C0"/>
        </w:rPr>
        <w:t xml:space="preserve"> reaches out to the labs. We also reach out to labs</w:t>
      </w:r>
      <w:r w:rsidR="008D2068">
        <w:rPr>
          <w:color w:val="0070C0"/>
        </w:rPr>
        <w:t xml:space="preserve"> identified from new reporters</w:t>
      </w:r>
      <w:r w:rsidR="007A07BE">
        <w:rPr>
          <w:color w:val="0070C0"/>
        </w:rPr>
        <w:t xml:space="preserve"> that</w:t>
      </w:r>
      <w:r w:rsidR="008D2068">
        <w:rPr>
          <w:color w:val="0070C0"/>
        </w:rPr>
        <w:t xml:space="preserve"> currently</w:t>
      </w:r>
      <w:r w:rsidR="007A07BE">
        <w:rPr>
          <w:color w:val="0070C0"/>
        </w:rPr>
        <w:t xml:space="preserve"> do not submit pathology</w:t>
      </w:r>
      <w:r w:rsidR="00070F73">
        <w:rPr>
          <w:color w:val="0070C0"/>
        </w:rPr>
        <w:t>. Out of state labs may contact us to report Georgia cases.</w:t>
      </w:r>
    </w:p>
    <w:p w14:paraId="6733E5E5" w14:textId="77777777" w:rsidR="00070F73" w:rsidRPr="009859E0" w:rsidRDefault="00070F73" w:rsidP="00581186">
      <w:pPr>
        <w:pStyle w:val="ListParagraph"/>
        <w:ind w:left="1440"/>
        <w:rPr>
          <w:color w:val="0070C0"/>
          <w:sz w:val="16"/>
          <w:szCs w:val="16"/>
        </w:rPr>
      </w:pPr>
    </w:p>
    <w:p w14:paraId="2DFEF081" w14:textId="77777777" w:rsidR="00581186" w:rsidRDefault="00DE41BA" w:rsidP="00BD7EF8">
      <w:pPr>
        <w:pStyle w:val="ListParagraph"/>
        <w:numPr>
          <w:ilvl w:val="1"/>
          <w:numId w:val="4"/>
        </w:numPr>
      </w:pPr>
      <w:r>
        <w:t xml:space="preserve">Are there any labs or hospitals that use multiple routes to send you pathology reports? </w:t>
      </w:r>
    </w:p>
    <w:p w14:paraId="177C27C7" w14:textId="17AB9EFC" w:rsidR="00DE41BA" w:rsidRDefault="00DE41BA" w:rsidP="00581186">
      <w:pPr>
        <w:pStyle w:val="ListParagraph"/>
        <w:ind w:left="1440"/>
      </w:pPr>
      <w:r>
        <w:t>(</w:t>
      </w:r>
      <w:proofErr w:type="gramStart"/>
      <w:r>
        <w:t>e.g</w:t>
      </w:r>
      <w:proofErr w:type="gramEnd"/>
      <w:r>
        <w:t>. Hospital A sends data by sftp and through AIM)</w:t>
      </w:r>
    </w:p>
    <w:p w14:paraId="10D698E5" w14:textId="3BE14CA8" w:rsidR="009859E0" w:rsidRPr="009859E0" w:rsidRDefault="00DE41BA" w:rsidP="009859E0">
      <w:pPr>
        <w:pStyle w:val="ListParagraph"/>
        <w:numPr>
          <w:ilvl w:val="2"/>
          <w:numId w:val="1"/>
        </w:numPr>
      </w:pPr>
      <w:r>
        <w:t>If so, can you provide the background to this setup</w:t>
      </w:r>
      <w:r w:rsidR="00070F73">
        <w:t xml:space="preserve">                                                             </w:t>
      </w:r>
      <w:proofErr w:type="gramStart"/>
      <w:r w:rsidR="00CE54F2">
        <w:rPr>
          <w:color w:val="0070C0"/>
        </w:rPr>
        <w:t>Two</w:t>
      </w:r>
      <w:proofErr w:type="gramEnd"/>
      <w:r w:rsidR="006F3EBA">
        <w:rPr>
          <w:color w:val="0070C0"/>
        </w:rPr>
        <w:t xml:space="preserve"> labs </w:t>
      </w:r>
      <w:r w:rsidR="00581186" w:rsidRPr="00070F73">
        <w:rPr>
          <w:color w:val="0070C0"/>
        </w:rPr>
        <w:t xml:space="preserve">report through AIM </w:t>
      </w:r>
      <w:proofErr w:type="spellStart"/>
      <w:r w:rsidR="00581186" w:rsidRPr="00070F73">
        <w:rPr>
          <w:color w:val="0070C0"/>
        </w:rPr>
        <w:t>Epath</w:t>
      </w:r>
      <w:proofErr w:type="spellEnd"/>
      <w:r w:rsidR="00581186" w:rsidRPr="00070F73">
        <w:rPr>
          <w:color w:val="0070C0"/>
        </w:rPr>
        <w:t xml:space="preserve"> and PHINMS; </w:t>
      </w:r>
      <w:r w:rsidR="00480D29">
        <w:rPr>
          <w:color w:val="0070C0"/>
        </w:rPr>
        <w:t>one</w:t>
      </w:r>
      <w:r w:rsidR="008D2068" w:rsidRPr="00070F73">
        <w:rPr>
          <w:color w:val="0070C0"/>
        </w:rPr>
        <w:t xml:space="preserve"> </w:t>
      </w:r>
      <w:r w:rsidR="006F3EBA">
        <w:rPr>
          <w:color w:val="0070C0"/>
        </w:rPr>
        <w:t>lab</w:t>
      </w:r>
      <w:r w:rsidR="007A07BE" w:rsidRPr="00070F73">
        <w:rPr>
          <w:color w:val="0070C0"/>
        </w:rPr>
        <w:t xml:space="preserve"> </w:t>
      </w:r>
      <w:r w:rsidR="00480D29">
        <w:rPr>
          <w:color w:val="0070C0"/>
        </w:rPr>
        <w:t xml:space="preserve">will </w:t>
      </w:r>
      <w:r w:rsidR="00581186" w:rsidRPr="00070F73">
        <w:rPr>
          <w:color w:val="0070C0"/>
        </w:rPr>
        <w:t xml:space="preserve">no longer report through </w:t>
      </w:r>
      <w:proofErr w:type="spellStart"/>
      <w:r w:rsidR="008D2068" w:rsidRPr="00070F73">
        <w:rPr>
          <w:color w:val="0070C0"/>
        </w:rPr>
        <w:t>Epath</w:t>
      </w:r>
      <w:proofErr w:type="spellEnd"/>
      <w:r w:rsidR="00480D29">
        <w:rPr>
          <w:color w:val="0070C0"/>
        </w:rPr>
        <w:t xml:space="preserve"> this month</w:t>
      </w:r>
      <w:r w:rsidR="00581186" w:rsidRPr="00070F73">
        <w:rPr>
          <w:color w:val="0070C0"/>
        </w:rPr>
        <w:t>.</w:t>
      </w:r>
    </w:p>
    <w:p w14:paraId="2D8E7675" w14:textId="77777777" w:rsidR="009859E0" w:rsidRPr="009859E0" w:rsidRDefault="009859E0" w:rsidP="009859E0">
      <w:pPr>
        <w:pStyle w:val="ListParagraph"/>
        <w:ind w:left="2160"/>
        <w:rPr>
          <w:sz w:val="16"/>
          <w:szCs w:val="16"/>
        </w:rPr>
      </w:pPr>
    </w:p>
    <w:p w14:paraId="6A426339" w14:textId="74CA6847" w:rsidR="0013647C" w:rsidRDefault="0013647C" w:rsidP="009F4014">
      <w:pPr>
        <w:pStyle w:val="ListParagraph"/>
        <w:numPr>
          <w:ilvl w:val="1"/>
          <w:numId w:val="1"/>
        </w:numPr>
      </w:pPr>
      <w:r>
        <w:t>A</w:t>
      </w:r>
      <w:r w:rsidR="007A07BE">
        <w:t xml:space="preserve">re there </w:t>
      </w:r>
      <w:r>
        <w:t>restrictions in potentially changing from one pathology route to another?</w:t>
      </w:r>
    </w:p>
    <w:p w14:paraId="24F1811D" w14:textId="1A08FCFD" w:rsidR="00070F73" w:rsidRDefault="007A07BE" w:rsidP="00940157">
      <w:pPr>
        <w:pStyle w:val="ListParagraph"/>
        <w:ind w:left="1440"/>
        <w:rPr>
          <w:color w:val="0070C0"/>
        </w:rPr>
      </w:pPr>
      <w:r>
        <w:rPr>
          <w:color w:val="0070C0"/>
        </w:rPr>
        <w:t>Not for the Central Regist</w:t>
      </w:r>
      <w:r w:rsidR="008D2068">
        <w:rPr>
          <w:color w:val="0070C0"/>
        </w:rPr>
        <w:t xml:space="preserve">ry. </w:t>
      </w:r>
    </w:p>
    <w:p w14:paraId="65DE3BF7" w14:textId="77777777" w:rsidR="00070F73" w:rsidRPr="009859E0" w:rsidRDefault="00070F73" w:rsidP="00940157">
      <w:pPr>
        <w:pStyle w:val="ListParagraph"/>
        <w:ind w:left="1440"/>
        <w:rPr>
          <w:color w:val="0070C0"/>
          <w:sz w:val="16"/>
          <w:szCs w:val="16"/>
        </w:rPr>
      </w:pPr>
    </w:p>
    <w:p w14:paraId="47F535A5" w14:textId="65BA70AE" w:rsidR="00DE41BA" w:rsidRDefault="0013647C" w:rsidP="009F4014">
      <w:pPr>
        <w:pStyle w:val="ListParagraph"/>
        <w:numPr>
          <w:ilvl w:val="1"/>
          <w:numId w:val="1"/>
        </w:numPr>
      </w:pPr>
      <w:r>
        <w:t>Are you currently considering any additional pathology routes</w:t>
      </w:r>
      <w:r w:rsidR="00DE41BA">
        <w:t xml:space="preserve"> or processes?</w:t>
      </w:r>
    </w:p>
    <w:p w14:paraId="3C819D33" w14:textId="6E71CFEE" w:rsidR="007A07BE" w:rsidRDefault="007A07BE" w:rsidP="007A07BE">
      <w:pPr>
        <w:pStyle w:val="ListParagraph"/>
        <w:ind w:left="1440"/>
        <w:rPr>
          <w:color w:val="0070C0"/>
        </w:rPr>
      </w:pPr>
      <w:proofErr w:type="spellStart"/>
      <w:r>
        <w:rPr>
          <w:color w:val="0070C0"/>
        </w:rPr>
        <w:t>Not</w:t>
      </w:r>
      <w:proofErr w:type="spellEnd"/>
      <w:r>
        <w:rPr>
          <w:color w:val="0070C0"/>
        </w:rPr>
        <w:t xml:space="preserve"> other than working t</w:t>
      </w:r>
      <w:r w:rsidR="00070F73">
        <w:rPr>
          <w:color w:val="0070C0"/>
        </w:rPr>
        <w:t xml:space="preserve">oward more electronic, complete (inclusive of demographic) </w:t>
      </w:r>
      <w:r>
        <w:rPr>
          <w:color w:val="0070C0"/>
        </w:rPr>
        <w:t>reports</w:t>
      </w:r>
    </w:p>
    <w:p w14:paraId="79E4B77C" w14:textId="77777777" w:rsidR="00070F73" w:rsidRPr="009859E0" w:rsidRDefault="00070F73" w:rsidP="007A07BE">
      <w:pPr>
        <w:pStyle w:val="ListParagraph"/>
        <w:ind w:left="1440"/>
        <w:rPr>
          <w:color w:val="0070C0"/>
          <w:sz w:val="16"/>
          <w:szCs w:val="16"/>
        </w:rPr>
      </w:pPr>
    </w:p>
    <w:p w14:paraId="2510CDC3" w14:textId="528A357D" w:rsidR="00BD7EF8" w:rsidRDefault="00BD7EF8" w:rsidP="009F4014">
      <w:pPr>
        <w:pStyle w:val="ListParagraph"/>
        <w:numPr>
          <w:ilvl w:val="1"/>
          <w:numId w:val="1"/>
        </w:numPr>
      </w:pPr>
      <w:r>
        <w:t xml:space="preserve">Are there any pathology routes at your registry better </w:t>
      </w:r>
      <w:proofErr w:type="gramStart"/>
      <w:r>
        <w:t>than others</w:t>
      </w:r>
      <w:proofErr w:type="gramEnd"/>
      <w:r>
        <w:t xml:space="preserve"> and why?</w:t>
      </w:r>
    </w:p>
    <w:p w14:paraId="5A7F6E61" w14:textId="566014D2" w:rsidR="007A07BE" w:rsidRDefault="007A07BE" w:rsidP="007A07BE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Easiest receipt and processing is through AIM </w:t>
      </w:r>
      <w:proofErr w:type="spellStart"/>
      <w:r>
        <w:rPr>
          <w:color w:val="0070C0"/>
        </w:rPr>
        <w:t>Epath</w:t>
      </w:r>
      <w:proofErr w:type="spellEnd"/>
      <w:r>
        <w:rPr>
          <w:color w:val="0070C0"/>
        </w:rPr>
        <w:t xml:space="preserve">. Do not have to go to secure </w:t>
      </w:r>
      <w:proofErr w:type="spellStart"/>
      <w:r>
        <w:rPr>
          <w:color w:val="0070C0"/>
        </w:rPr>
        <w:t>sFTP</w:t>
      </w:r>
      <w:proofErr w:type="spellEnd"/>
      <w:r>
        <w:rPr>
          <w:color w:val="0070C0"/>
        </w:rPr>
        <w:t xml:space="preserve"> or webmail to download and track receipt of data</w:t>
      </w:r>
      <w:proofErr w:type="gramStart"/>
      <w:r>
        <w:rPr>
          <w:color w:val="0070C0"/>
        </w:rPr>
        <w:t>;</w:t>
      </w:r>
      <w:proofErr w:type="gramEnd"/>
      <w:r>
        <w:rPr>
          <w:color w:val="0070C0"/>
        </w:rPr>
        <w:t xml:space="preserve"> no additional processing at registry</w:t>
      </w:r>
      <w:r w:rsidR="00070F73">
        <w:rPr>
          <w:color w:val="0070C0"/>
        </w:rPr>
        <w:t>.</w:t>
      </w:r>
    </w:p>
    <w:p w14:paraId="3F0B9109" w14:textId="77777777" w:rsidR="00070F73" w:rsidRPr="00940157" w:rsidRDefault="00070F73" w:rsidP="007A07BE">
      <w:pPr>
        <w:pStyle w:val="ListParagraph"/>
        <w:ind w:left="1440"/>
        <w:rPr>
          <w:color w:val="0070C0"/>
        </w:rPr>
      </w:pPr>
    </w:p>
    <w:p w14:paraId="4AD7D6B2" w14:textId="2A641D28" w:rsidR="00070F73" w:rsidRPr="009859E0" w:rsidRDefault="00BD7EF8" w:rsidP="009859E0">
      <w:pPr>
        <w:pStyle w:val="ListParagraph"/>
        <w:numPr>
          <w:ilvl w:val="1"/>
          <w:numId w:val="1"/>
        </w:numPr>
      </w:pPr>
      <w:r>
        <w:t>Are there any pathology routes that are not functioning effectively for your registry?</w:t>
      </w:r>
      <w:r w:rsidR="009859E0">
        <w:t xml:space="preserve">  </w:t>
      </w:r>
      <w:r w:rsidR="00070F73" w:rsidRPr="009859E0">
        <w:rPr>
          <w:color w:val="0070C0"/>
        </w:rPr>
        <w:t>We ask lab reporters to submit HL7 files whenever possible.  Issue has been demographics are not always included in the HL7 record and corresponding demographic information is not always a complete match.</w:t>
      </w:r>
    </w:p>
    <w:p w14:paraId="5554421B" w14:textId="2D43B9EA" w:rsidR="00070F73" w:rsidRPr="00070F73" w:rsidRDefault="00070F73" w:rsidP="00070F73">
      <w:pPr>
        <w:ind w:left="1440"/>
        <w:rPr>
          <w:color w:val="0070C0"/>
        </w:rPr>
      </w:pPr>
      <w:r w:rsidRPr="00070F73">
        <w:rPr>
          <w:color w:val="0070C0"/>
        </w:rPr>
        <w:t xml:space="preserve">Facilities that cannot create a HL7 file are encouraged to submit data in excel format or pdf. </w:t>
      </w:r>
      <w:r>
        <w:rPr>
          <w:color w:val="0070C0"/>
        </w:rPr>
        <w:t xml:space="preserve"> We</w:t>
      </w:r>
      <w:r w:rsidRPr="00070F73">
        <w:rPr>
          <w:color w:val="0070C0"/>
        </w:rPr>
        <w:t xml:space="preserve"> are in the process of mandating submission </w:t>
      </w:r>
      <w:r>
        <w:rPr>
          <w:color w:val="0070C0"/>
        </w:rPr>
        <w:t>any</w:t>
      </w:r>
      <w:r w:rsidRPr="00070F73">
        <w:rPr>
          <w:color w:val="0070C0"/>
        </w:rPr>
        <w:t xml:space="preserve"> data </w:t>
      </w:r>
      <w:r w:rsidR="009859E0">
        <w:rPr>
          <w:color w:val="0070C0"/>
        </w:rPr>
        <w:t xml:space="preserve">not on </w:t>
      </w:r>
      <w:proofErr w:type="spellStart"/>
      <w:r w:rsidR="009859E0">
        <w:rPr>
          <w:color w:val="0070C0"/>
        </w:rPr>
        <w:t>Epath</w:t>
      </w:r>
      <w:proofErr w:type="spellEnd"/>
      <w:r w:rsidR="009859E0">
        <w:rPr>
          <w:color w:val="0070C0"/>
        </w:rPr>
        <w:t xml:space="preserve">, </w:t>
      </w:r>
      <w:r w:rsidRPr="00070F73">
        <w:rPr>
          <w:color w:val="0070C0"/>
        </w:rPr>
        <w:t xml:space="preserve">by </w:t>
      </w:r>
      <w:proofErr w:type="spellStart"/>
      <w:r w:rsidRPr="00070F73">
        <w:rPr>
          <w:color w:val="0070C0"/>
        </w:rPr>
        <w:t>sFTP</w:t>
      </w:r>
      <w:proofErr w:type="spellEnd"/>
      <w:r w:rsidRPr="00070F73">
        <w:rPr>
          <w:color w:val="0070C0"/>
        </w:rPr>
        <w:t xml:space="preserve"> or secure webmail.</w:t>
      </w:r>
    </w:p>
    <w:p w14:paraId="1C78DEAD" w14:textId="7E2A6D73" w:rsidR="00070F73" w:rsidRPr="00070F73" w:rsidRDefault="00070F73" w:rsidP="00070F73">
      <w:pPr>
        <w:ind w:left="1440"/>
        <w:rPr>
          <w:color w:val="0070C0"/>
        </w:rPr>
      </w:pPr>
      <w:r w:rsidRPr="00070F73">
        <w:rPr>
          <w:color w:val="0070C0"/>
        </w:rPr>
        <w:lastRenderedPageBreak/>
        <w:t xml:space="preserve">PHINMS is electronic but requires update to their security certificates </w:t>
      </w:r>
      <w:r w:rsidR="00480D29">
        <w:rPr>
          <w:color w:val="0070C0"/>
        </w:rPr>
        <w:t xml:space="preserve">preventing </w:t>
      </w:r>
      <w:r w:rsidRPr="00070F73">
        <w:rPr>
          <w:color w:val="0070C0"/>
        </w:rPr>
        <w:t>decrypting of data, and interrupts submissions</w:t>
      </w:r>
      <w:r w:rsidR="00480D29">
        <w:rPr>
          <w:color w:val="0070C0"/>
        </w:rPr>
        <w:t xml:space="preserve"> when the certificate </w:t>
      </w:r>
      <w:proofErr w:type="gramStart"/>
      <w:r w:rsidR="00480D29">
        <w:rPr>
          <w:color w:val="0070C0"/>
        </w:rPr>
        <w:t>is</w:t>
      </w:r>
      <w:r w:rsidR="00CE54F2">
        <w:rPr>
          <w:color w:val="0070C0"/>
        </w:rPr>
        <w:t xml:space="preserve"> not updated</w:t>
      </w:r>
      <w:proofErr w:type="gramEnd"/>
      <w:r w:rsidR="00CE54F2">
        <w:rPr>
          <w:color w:val="0070C0"/>
        </w:rPr>
        <w:t xml:space="preserve"> in a timely manner.</w:t>
      </w:r>
    </w:p>
    <w:p w14:paraId="16517A5B" w14:textId="77777777" w:rsidR="00480D29" w:rsidRDefault="00480D29" w:rsidP="00480D29">
      <w:pPr>
        <w:rPr>
          <w:color w:val="0070C0"/>
        </w:rPr>
      </w:pPr>
    </w:p>
    <w:p w14:paraId="50C93FF5" w14:textId="7D689B45" w:rsidR="00940157" w:rsidRDefault="009859E0" w:rsidP="00480D29">
      <w:pPr>
        <w:rPr>
          <w:color w:val="0070C0"/>
        </w:rPr>
      </w:pPr>
      <w:r w:rsidRPr="00480D29">
        <w:rPr>
          <w:color w:val="0070C0"/>
        </w:rPr>
        <w:t>We have not begun processing 2017 data so would not be able to provide information for the following.</w:t>
      </w:r>
    </w:p>
    <w:p w14:paraId="3119A90B" w14:textId="4A6EFA9D" w:rsidR="00466546" w:rsidRPr="00480D29" w:rsidRDefault="00466546" w:rsidP="00480D29">
      <w:pPr>
        <w:rPr>
          <w:color w:val="0070C0"/>
        </w:rPr>
      </w:pPr>
      <w:r>
        <w:rPr>
          <w:color w:val="0070C0"/>
        </w:rPr>
        <w:t xml:space="preserve">We have 140,000 that have come in electronically so far. We </w:t>
      </w:r>
      <w:proofErr w:type="gramStart"/>
      <w:r>
        <w:rPr>
          <w:color w:val="0070C0"/>
        </w:rPr>
        <w:t>don’t</w:t>
      </w:r>
      <w:proofErr w:type="gramEnd"/>
      <w:r>
        <w:rPr>
          <w:color w:val="0070C0"/>
        </w:rPr>
        <w:t xml:space="preserve"> have a count of how many paper reports that we have currently.</w:t>
      </w:r>
      <w:bookmarkStart w:id="0" w:name="_GoBack"/>
      <w:bookmarkEnd w:id="0"/>
    </w:p>
    <w:p w14:paraId="1C1D5CEE" w14:textId="514B932C" w:rsidR="00323EDE" w:rsidRDefault="00323EDE" w:rsidP="00323EDE">
      <w:pPr>
        <w:pStyle w:val="ListParagraph"/>
        <w:numPr>
          <w:ilvl w:val="0"/>
          <w:numId w:val="1"/>
        </w:numPr>
      </w:pPr>
      <w:r>
        <w:t>Review path</w:t>
      </w:r>
      <w:r w:rsidR="00DE41BA">
        <w:t>ology</w:t>
      </w:r>
      <w:r>
        <w:t xml:space="preserve"> processing</w:t>
      </w:r>
      <w:r w:rsidR="001348C2">
        <w:t xml:space="preserve"> </w:t>
      </w:r>
      <w:r>
        <w:t>questions</w:t>
      </w:r>
    </w:p>
    <w:p w14:paraId="405A26F5" w14:textId="2203A633" w:rsidR="00626BB8" w:rsidRDefault="00626BB8" w:rsidP="00BD7EF8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5D954ECF" w14:textId="77777777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43FD31D1" w14:textId="5C5C9094" w:rsidR="00626BB8" w:rsidRDefault="00626BB8" w:rsidP="009F4014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36CF7DD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666DCA6D" w14:textId="355B80F6" w:rsidR="00626BB8" w:rsidRDefault="00626BB8" w:rsidP="00626BB8">
      <w:pPr>
        <w:pStyle w:val="ListParagraph"/>
        <w:numPr>
          <w:ilvl w:val="1"/>
          <w:numId w:val="1"/>
        </w:numPr>
      </w:pPr>
      <w:r>
        <w:t>Of the total pathology reports in question #1, how many of the rep</w:t>
      </w:r>
      <w:r w:rsidR="00D7547A">
        <w:t>orts are</w:t>
      </w:r>
      <w:r>
        <w:t>:</w:t>
      </w:r>
    </w:p>
    <w:p w14:paraId="1CFB9C14" w14:textId="5291CFA1" w:rsidR="00626BB8" w:rsidRDefault="00D7547A" w:rsidP="00626BB8">
      <w:pPr>
        <w:pStyle w:val="ListParagraph"/>
        <w:numPr>
          <w:ilvl w:val="2"/>
          <w:numId w:val="1"/>
        </w:numPr>
      </w:pPr>
      <w:r>
        <w:t>Reportable</w:t>
      </w:r>
    </w:p>
    <w:p w14:paraId="7B9F74FE" w14:textId="73EDF2D2" w:rsidR="00626BB8" w:rsidRDefault="00D7547A" w:rsidP="00626BB8">
      <w:pPr>
        <w:pStyle w:val="ListParagraph"/>
        <w:numPr>
          <w:ilvl w:val="2"/>
          <w:numId w:val="1"/>
        </w:numPr>
      </w:pPr>
      <w:r>
        <w:t>Non-reportable</w:t>
      </w:r>
    </w:p>
    <w:p w14:paraId="2F582A49" w14:textId="2958EA32" w:rsidR="00626BB8" w:rsidRDefault="00626BB8" w:rsidP="00626BB8">
      <w:pPr>
        <w:pStyle w:val="ListParagraph"/>
        <w:numPr>
          <w:ilvl w:val="1"/>
          <w:numId w:val="1"/>
        </w:numPr>
      </w:pPr>
      <w:r>
        <w:t>Of the pathology reports that wer</w:t>
      </w:r>
      <w:r w:rsidR="009F4014">
        <w:t>e part of reportable cases in #3</w:t>
      </w:r>
      <w:r>
        <w:t>a how many were:</w:t>
      </w:r>
    </w:p>
    <w:p w14:paraId="645B0FA7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Electronic</w:t>
      </w:r>
    </w:p>
    <w:p w14:paraId="14747168" w14:textId="77777777" w:rsidR="00626BB8" w:rsidRDefault="00626BB8" w:rsidP="00626BB8">
      <w:pPr>
        <w:pStyle w:val="ListParagraph"/>
        <w:numPr>
          <w:ilvl w:val="2"/>
          <w:numId w:val="1"/>
        </w:numPr>
      </w:pPr>
      <w:r>
        <w:t>Non-electronic</w:t>
      </w:r>
    </w:p>
    <w:p w14:paraId="522F604C" w14:textId="0EF3AB5F" w:rsidR="00626BB8" w:rsidRDefault="00626BB8" w:rsidP="00626BB8">
      <w:pPr>
        <w:pStyle w:val="ListParagraph"/>
        <w:numPr>
          <w:ilvl w:val="1"/>
          <w:numId w:val="1"/>
        </w:numPr>
      </w:pPr>
      <w:r>
        <w:t>As of today, how many total cases are identified through pathology</w:t>
      </w:r>
      <w:r w:rsidR="00BD7EF8">
        <w:t xml:space="preserve"> reports</w:t>
      </w:r>
      <w:r>
        <w:t xml:space="preserve"> at your registry (%)</w:t>
      </w:r>
    </w:p>
    <w:p w14:paraId="39A573DA" w14:textId="4207AC42" w:rsidR="00451199" w:rsidRDefault="00BD7EF8" w:rsidP="00451199">
      <w:pPr>
        <w:pStyle w:val="ListParagraph"/>
        <w:numPr>
          <w:ilvl w:val="1"/>
          <w:numId w:val="1"/>
        </w:numPr>
      </w:pPr>
      <w:r>
        <w:t>As of today, what is the proportion of histologically confirmed ca</w:t>
      </w:r>
      <w:r w:rsidR="00451199">
        <w:t xml:space="preserve">ses (CTCs) for which there is </w:t>
      </w:r>
      <w:r>
        <w:t>at least one pathology report.</w:t>
      </w:r>
    </w:p>
    <w:p w14:paraId="2D82DE9F" w14:textId="3DEC4505" w:rsidR="00323EDE" w:rsidRDefault="00D7547A" w:rsidP="0013647C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70F73"/>
    <w:rsid w:val="000A3BCE"/>
    <w:rsid w:val="001348C2"/>
    <w:rsid w:val="0013647C"/>
    <w:rsid w:val="001E2CA8"/>
    <w:rsid w:val="00242568"/>
    <w:rsid w:val="002D19A8"/>
    <w:rsid w:val="00307C48"/>
    <w:rsid w:val="00323EDE"/>
    <w:rsid w:val="0033742E"/>
    <w:rsid w:val="003524C4"/>
    <w:rsid w:val="00371EDF"/>
    <w:rsid w:val="00451199"/>
    <w:rsid w:val="00466546"/>
    <w:rsid w:val="00480D29"/>
    <w:rsid w:val="00581186"/>
    <w:rsid w:val="00604E6A"/>
    <w:rsid w:val="00626BB8"/>
    <w:rsid w:val="006F3EBA"/>
    <w:rsid w:val="00707C83"/>
    <w:rsid w:val="007125EF"/>
    <w:rsid w:val="00777F57"/>
    <w:rsid w:val="007A07BE"/>
    <w:rsid w:val="007B36B9"/>
    <w:rsid w:val="007C27F1"/>
    <w:rsid w:val="007E01B0"/>
    <w:rsid w:val="00813F0D"/>
    <w:rsid w:val="008357D0"/>
    <w:rsid w:val="008D2068"/>
    <w:rsid w:val="008D56D3"/>
    <w:rsid w:val="00924C6B"/>
    <w:rsid w:val="00940157"/>
    <w:rsid w:val="009859E0"/>
    <w:rsid w:val="009E23FF"/>
    <w:rsid w:val="009F4014"/>
    <w:rsid w:val="00BD7EF8"/>
    <w:rsid w:val="00CE54F2"/>
    <w:rsid w:val="00D16760"/>
    <w:rsid w:val="00D7547A"/>
    <w:rsid w:val="00DE41BA"/>
    <w:rsid w:val="00EA26F2"/>
    <w:rsid w:val="00EB120B"/>
    <w:rsid w:val="00F9055B"/>
    <w:rsid w:val="00FF2A9B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Andrews, Judy H</cp:lastModifiedBy>
  <cp:revision>2</cp:revision>
  <cp:lastPrinted>2018-06-28T17:18:00Z</cp:lastPrinted>
  <dcterms:created xsi:type="dcterms:W3CDTF">2018-07-02T19:28:00Z</dcterms:created>
  <dcterms:modified xsi:type="dcterms:W3CDTF">2018-07-02T19:28:00Z</dcterms:modified>
</cp:coreProperties>
</file>