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Genetic Screening Test Catalogue</w:t>
      </w:r>
    </w:p>
    <w:p>
      <w:r>
        <w:t>Regression scenario: the method column is vertically merged, but every test row must still carry that method after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Code</w:t>
            </w:r>
          </w:p>
        </w:tc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Gene</w:t>
            </w:r>
          </w:p>
        </w:tc>
        <w:tc>
          <w:tcPr>
            <w:tcW w:type="dxa" w:w="1728"/>
          </w:tcPr>
          <w:p>
            <w:r>
              <w:t>Turnaround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</w:tr>
      <w:tr>
        <w:tc>
          <w:tcPr>
            <w:tcW w:type="dxa" w:w="1728"/>
          </w:tcPr>
          <w:p>
            <w:r>
              <w:t>Q0101</w:t>
            </w:r>
          </w:p>
        </w:tc>
        <w:tc>
          <w:tcPr>
            <w:tcW w:type="dxa" w:w="1728"/>
          </w:tcPr>
          <w:p>
            <w:r>
              <w:t>Hereditary Breast Cancer</w:t>
            </w:r>
          </w:p>
        </w:tc>
        <w:tc>
          <w:tcPr>
            <w:tcW w:type="dxa" w:w="1728"/>
          </w:tcPr>
          <w:p>
            <w:r>
              <w:t>BRCA1</w:t>
            </w:r>
          </w:p>
        </w:tc>
        <w:tc>
          <w:tcPr>
            <w:tcW w:type="dxa" w:w="1728"/>
          </w:tcPr>
          <w:p>
            <w:r>
              <w:t>15 working days</w:t>
            </w:r>
          </w:p>
        </w:tc>
        <w:tc>
          <w:tcPr>
            <w:tcW w:type="dxa" w:w="1728"/>
            <w:vMerge w:val="restart"/>
            <w:vAlign w:val="center"/>
          </w:tcPr>
          <w:p>
            <w:r>
              <w:t>Method: genomic DNA is extracted from peripheral blood and read by next-generation sequencing, with candidate variants confirmed by Sanger sequencing; results must be read alongside the clinical picture.</w:t>
            </w:r>
          </w:p>
        </w:tc>
      </w:tr>
      <w:tr>
        <w:tc>
          <w:tcPr>
            <w:tcW w:type="dxa" w:w="1728"/>
          </w:tcPr>
          <w:p>
            <w:r>
              <w:t>Q0102</w:t>
            </w:r>
          </w:p>
        </w:tc>
        <w:tc>
          <w:tcPr>
            <w:tcW w:type="dxa" w:w="1728"/>
          </w:tcPr>
          <w:p>
            <w:r>
              <w:t>Hereditary Ovarian Cancer</w:t>
            </w:r>
          </w:p>
        </w:tc>
        <w:tc>
          <w:tcPr>
            <w:tcW w:type="dxa" w:w="1728"/>
          </w:tcPr>
          <w:p>
            <w:r>
              <w:t>BRCA2</w:t>
            </w:r>
          </w:p>
        </w:tc>
        <w:tc>
          <w:tcPr>
            <w:tcW w:type="dxa" w:w="1728"/>
          </w:tcPr>
          <w:p>
            <w:r>
              <w:t>15 working days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r>
              <w:t>Q0103</w:t>
            </w:r>
          </w:p>
        </w:tc>
        <w:tc>
          <w:tcPr>
            <w:tcW w:type="dxa" w:w="1728"/>
          </w:tcPr>
          <w:p>
            <w:r>
              <w:t>Lynch Syndrome</w:t>
            </w:r>
          </w:p>
        </w:tc>
        <w:tc>
          <w:tcPr>
            <w:tcW w:type="dxa" w:w="1728"/>
          </w:tcPr>
          <w:p>
            <w:r>
              <w:t>MLH1</w:t>
            </w:r>
          </w:p>
        </w:tc>
        <w:tc>
          <w:tcPr>
            <w:tcW w:type="dxa" w:w="1728"/>
          </w:tcPr>
          <w:p>
            <w:r>
              <w:t>15 working days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r>
              <w:t>Q0104</w:t>
            </w:r>
          </w:p>
        </w:tc>
        <w:tc>
          <w:tcPr>
            <w:tcW w:type="dxa" w:w="1728"/>
          </w:tcPr>
          <w:p>
            <w:r>
              <w:t>Familial Adenomatous Polyposis</w:t>
            </w:r>
          </w:p>
        </w:tc>
        <w:tc>
          <w:tcPr>
            <w:tcW w:type="dxa" w:w="1728"/>
          </w:tcPr>
          <w:p>
            <w:r>
              <w:t>APC</w:t>
            </w:r>
          </w:p>
        </w:tc>
        <w:tc>
          <w:tcPr>
            <w:tcW w:type="dxa" w:w="1728"/>
          </w:tcPr>
          <w:p>
            <w:r>
              <w:t>15 working days</w:t>
            </w:r>
          </w:p>
        </w:tc>
        <w:tc>
          <w:tcPr>
            <w:tcW w:type="dxa" w:w="1728"/>
            <w:vMerge/>
          </w:tcPr>
          <w:p/>
        </w:tc>
      </w:tr>
    </w:tbl>
    <w:p>
      <w:r>
        <w:t>Control table: adjacent cells may hold the same text, but they must not be treated as merged.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Same Value</w:t>
            </w:r>
          </w:p>
        </w:tc>
        <w:tc>
          <w:tcPr>
            <w:tcW w:type="dxa" w:w="2880"/>
          </w:tcPr>
          <w:p>
            <w:r>
              <w:t>Same Value</w:t>
            </w:r>
          </w:p>
        </w:tc>
        <w:tc>
          <w:tcPr>
            <w:tcW w:type="dxa" w:w="2880"/>
          </w:tcPr>
          <w:p>
            <w:r>
              <w:t>Distinct 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