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MCHB FY27 Title V Block Grant Guidance</w:t>
      </w:r>
    </w:p>
    <w:p>
      <w:pPr>
        <w:pStyle w:val="Heading2"/>
        <w:spacing w:after="400"/>
        <w:jc w:val="center"/>
      </w:pPr>
      <w:r>
        <w:t xml:space="preserve">Core Guidance Requirements by MCH Population Health Domain</w:t>
      </w:r>
    </w:p>
    <w:p>
      <w:pPr>
        <w:pStyle w:val="Heading2"/>
        <w:spacing w:after="100" w:before="200"/>
      </w:pPr>
      <w:r>
        <w:t xml:space="preserve">OVERVIEW</w:t>
      </w:r>
    </w:p>
    <w:p>
      <w:pPr>
        <w:spacing w:after="200"/>
      </w:pPr>
      <w:r>
        <w:t xml:space="preserve">Title V Block Grant programs must address five MCH population domains plus one optional cross-cutting domain. This guide details the core requirements, available National Performance Measures (NPMs), and key application/reporting areas for each domain.</w:t>
      </w:r>
    </w:p>
    <w:p>
      <w:pPr>
        <w:pStyle w:val="Heading2"/>
        <w:spacing w:after="100" w:before="200"/>
      </w:pPr>
      <w:r>
        <w:t xml:space="preserve">DOMAIN 1: WOMEN/MATERNAL HEALTH</w:t>
      </w:r>
    </w:p>
    <w:p>
      <w:pPr>
        <w:spacing w:after="50"/>
      </w:pPr>
      <w:r>
        <w:t xml:space="preserve">Legislative Foundation:</w:t>
      </w:r>
    </w:p>
    <w:p>
      <w:pPr>
        <w:spacing w:after="100"/>
      </w:pPr>
      <w:r>
        <w:t xml:space="preserve">Preventive and primary care services for all pregnant women, mothers, and infants up to age one</w:t>
      </w:r>
    </w:p>
    <w:p>
      <w:pPr>
        <w:spacing w:after="50"/>
      </w:pPr>
      <w:r>
        <w:t xml:space="preserve">Purpose:</w:t>
      </w:r>
    </w:p>
    <w:p>
      <w:pPr>
        <w:spacing w:after="150"/>
      </w:pPr>
      <w:r>
        <w:t xml:space="preserve">To provide access to quality maternal health services, reduce maternal mortality and morbidity, improve postpartum care, and support family planning and reproductive health across the life course.</w:t>
      </w:r>
    </w:p>
    <w:p>
      <w:pPr>
        <w:pStyle w:val="Heading3"/>
        <w:spacing w:after="100" w:before="100"/>
      </w:pPr>
      <w:r>
        <w:t xml:space="preserve">Universal NPM – REQUIRED</w:t>
      </w:r>
    </w:p>
    <w:p>
      <w:pPr>
        <w:spacing w:after="50"/>
      </w:pPr>
      <w:r>
        <w:t xml:space="preserve">Postpartum Visit (2-part measure)</w:t>
      </w:r>
    </w:p>
    <w:p>
      <w:pPr>
        <w:spacing w:after="25"/>
      </w:pPr>
      <w:r>
        <w:t xml:space="preserve">A) Percent of women who attended a postpartum checkup within 12 weeks after giving birth</w:t>
      </w:r>
    </w:p>
    <w:p>
      <w:pPr>
        <w:spacing w:after="50"/>
      </w:pPr>
      <w:r>
        <w:t xml:space="preserve">B) Percent of women who attended a postpartum checkup and received recommended care components</w:t>
      </w:r>
    </w:p>
    <w:p>
      <w:pPr>
        <w:spacing w:after="50"/>
      </w:pPr>
      <w:r>
        <w:t xml:space="preserve">Measure Domain: Clinical Health Systems</w:t>
      </w:r>
    </w:p>
    <w:p>
      <w:pPr>
        <w:spacing w:after="150"/>
      </w:pPr>
      <w:r>
        <w:t xml:space="preserve">Focus: Addresses maternal mortality/morbidity by ensuring comprehensive postpartum clinical services including screening, counseling, and management of health issues</w:t>
      </w:r>
    </w:p>
    <w:p>
      <w:pPr>
        <w:pStyle w:val="Heading3"/>
        <w:spacing w:after="100" w:before="100"/>
      </w:pPr>
      <w:r>
        <w:t xml:space="preserve">Key Application/Reporting Areas</w:t>
      </w:r>
    </w:p>
    <w:p>
      <w:pPr>
        <w:spacing w:after="50"/>
      </w:pPr>
      <w:r>
        <w:t xml:space="preserve">Program Structure &amp; Clinical Services:</w:t>
      </w:r>
    </w:p>
    <w:p>
      <w:pPr>
        <w:spacing w:after="25"/>
      </w:pPr>
      <w:r>
        <w:t xml:space="preserve">• State systems and partnerships supporting prenatal care delivery</w:t>
      </w:r>
    </w:p>
    <w:p>
      <w:pPr>
        <w:spacing w:after="25"/>
      </w:pPr>
      <w:r>
        <w:t xml:space="preserve">• Maternal specialty provider availability and access</w:t>
      </w:r>
    </w:p>
    <w:p>
      <w:pPr>
        <w:spacing w:after="25"/>
      </w:pPr>
      <w:r>
        <w:t xml:space="preserve">• Integration of behavioral/mental health services into prenatal care</w:t>
      </w:r>
    </w:p>
    <w:p>
      <w:pPr>
        <w:spacing w:after="100"/>
      </w:pPr>
      <w:r>
        <w:t xml:space="preserve">• Management of high-risk pregnancies</w:t>
      </w:r>
    </w:p>
    <w:p>
      <w:pPr>
        <w:spacing w:after="50"/>
      </w:pPr>
      <w:r>
        <w:t xml:space="preserve">Health Behaviors &amp; Prevention:</w:t>
      </w:r>
    </w:p>
    <w:p>
      <w:pPr>
        <w:spacing w:after="25"/>
      </w:pPr>
      <w:r>
        <w:t xml:space="preserve">• Family planning counseling and access to contraception</w:t>
      </w:r>
    </w:p>
    <w:p>
      <w:pPr>
        <w:spacing w:after="25"/>
      </w:pPr>
      <w:r>
        <w:t xml:space="preserve">• Substance use screening and support during pregnancy</w:t>
      </w:r>
    </w:p>
    <w:p>
      <w:pPr>
        <w:spacing w:after="100"/>
      </w:pPr>
      <w:r>
        <w:t xml:space="preserve">• Prenatal nutrition, exercise, and wellness education</w:t>
      </w:r>
    </w:p>
    <w:p>
      <w:pPr>
        <w:spacing w:after="50"/>
      </w:pPr>
      <w:r>
        <w:t xml:space="preserve">Community Health Factors:</w:t>
      </w:r>
    </w:p>
    <w:p>
      <w:pPr>
        <w:spacing w:after="25"/>
      </w:pPr>
      <w:r>
        <w:t xml:space="preserve">• Addressing racial/ethnic disparities in maternal outcomes</w:t>
      </w:r>
    </w:p>
    <w:p>
      <w:pPr>
        <w:spacing w:after="25"/>
      </w:pPr>
      <w:r>
        <w:t xml:space="preserve">• Medicaid enrollment and EPSDT services for pregnant women</w:t>
      </w:r>
    </w:p>
    <w:p>
      <w:pPr>
        <w:spacing w:after="25"/>
      </w:pPr>
      <w:r>
        <w:t xml:space="preserve">• Coordination with WIC and other social services</w:t>
      </w:r>
    </w:p>
    <w:p>
      <w:pPr>
        <w:spacing w:after="200"/>
      </w:pPr>
      <w:r>
        <w:t xml:space="preserve">• Housing and food security support</w:t>
      </w:r>
    </w:p>
    <w:p>
      <w:pPr>
        <w:pStyle w:val="Heading2"/>
        <w:spacing w:after="100" w:before="200"/>
      </w:pPr>
      <w:r>
        <w:t xml:space="preserve">DOMAIN 2: PERINATAL/INFANT HEALTH</w:t>
      </w:r>
    </w:p>
    <w:p>
      <w:pPr>
        <w:spacing w:after="50"/>
      </w:pPr>
      <w:r>
        <w:t xml:space="preserve">Legislative Foundation:</w:t>
      </w:r>
    </w:p>
    <w:p>
      <w:pPr>
        <w:spacing w:after="100"/>
      </w:pPr>
      <w:r>
        <w:t xml:space="preserve">Preventive and primary care services for pregnant women, mothers, and infants up to age one</w:t>
      </w:r>
    </w:p>
    <w:p>
      <w:pPr>
        <w:spacing w:after="50"/>
      </w:pPr>
      <w:r>
        <w:t xml:space="preserve">Purpose:</w:t>
      </w:r>
    </w:p>
    <w:p>
      <w:pPr>
        <w:spacing w:after="150"/>
      </w:pPr>
      <w:r>
        <w:t xml:space="preserve">To reduce stillbirth, infant mortality, and preventable diseases; improve newborn screening and early intervention; promote safe infant sleep and optimal infant health practices.</w:t>
      </w:r>
    </w:p>
    <w:p>
      <w:pPr>
        <w:pStyle w:val="Heading3"/>
        <w:spacing w:after="100" w:before="100"/>
      </w:pPr>
      <w:r>
        <w:t xml:space="preserve">Universal NPM – REQUIRED</w:t>
      </w:r>
    </w:p>
    <w:p>
      <w:pPr>
        <w:spacing w:after="50"/>
      </w:pPr>
      <w:r>
        <w:t xml:space="preserve">Postpartum Visit (see Women/Maternal Health domain)</w:t>
      </w:r>
    </w:p>
    <w:p>
      <w:pPr>
        <w:spacing w:after="150"/>
      </w:pPr>
      <w:r>
        <w:t xml:space="preserve">Applies here as well; counts once toward minimum 5 NPMs across domains</w:t>
      </w:r>
    </w:p>
    <w:p>
      <w:pPr>
        <w:pStyle w:val="Heading3"/>
        <w:spacing w:after="100" w:before="100"/>
      </w:pPr>
      <w:r>
        <w:t xml:space="preserve">Key Application/Reporting Areas</w:t>
      </w:r>
    </w:p>
    <w:p>
      <w:pPr>
        <w:spacing w:after="50"/>
      </w:pPr>
      <w:r>
        <w:t xml:space="preserve">Clinical Systems &amp; Perinatal Care:</w:t>
      </w:r>
    </w:p>
    <w:p>
      <w:pPr>
        <w:spacing w:after="25"/>
      </w:pPr>
      <w:r>
        <w:t xml:space="preserve">• Hospital birthing capacity and NICU/Level of Care distribution</w:t>
      </w:r>
    </w:p>
    <w:p>
      <w:pPr>
        <w:spacing w:after="25"/>
      </w:pPr>
      <w:r>
        <w:t xml:space="preserve">• Perinatal regionalization policies and protocols</w:t>
      </w:r>
    </w:p>
    <w:p>
      <w:pPr>
        <w:spacing w:after="100"/>
      </w:pPr>
      <w:r>
        <w:t xml:space="preserve">• Obstetric provider availability (OB/GYN, midwives, maternal-fetal medicine)</w:t>
      </w:r>
    </w:p>
    <w:p>
      <w:pPr>
        <w:spacing w:after="50"/>
      </w:pPr>
      <w:r>
        <w:t xml:space="preserve">Health Behaviors &amp; Infant Care:</w:t>
      </w:r>
    </w:p>
    <w:p>
      <w:pPr>
        <w:spacing w:after="25"/>
      </w:pPr>
      <w:r>
        <w:t xml:space="preserve">• Breastfeeding promotion and lactation support</w:t>
      </w:r>
    </w:p>
    <w:p>
      <w:pPr>
        <w:spacing w:after="25"/>
      </w:pPr>
      <w:r>
        <w:t xml:space="preserve">• Safe sleep education and infant sleep positioning practices</w:t>
      </w:r>
    </w:p>
    <w:p>
      <w:pPr>
        <w:spacing w:after="100"/>
      </w:pPr>
      <w:r>
        <w:t xml:space="preserve">• Newborn care education</w:t>
      </w:r>
    </w:p>
    <w:p>
      <w:pPr>
        <w:spacing w:after="50"/>
      </w:pPr>
      <w:r>
        <w:t xml:space="preserve">Community Health Factors &amp; Social Determinants:</w:t>
      </w:r>
    </w:p>
    <w:p>
      <w:pPr>
        <w:spacing w:after="25"/>
      </w:pPr>
      <w:r>
        <w:t xml:space="preserve">• Addressing racial/ethnic disparities in infant mortality</w:t>
      </w:r>
    </w:p>
    <w:p>
      <w:pPr>
        <w:spacing w:after="25"/>
      </w:pPr>
      <w:r>
        <w:t xml:space="preserve">• Housing, food, and economic security for pregnant women and new mothers</w:t>
      </w:r>
    </w:p>
    <w:p>
      <w:pPr>
        <w:spacing w:after="200"/>
      </w:pPr>
      <w:r>
        <w:t xml:space="preserve">• Tribal consultation and services for American Indian/Alaska Native populations</w:t>
      </w:r>
    </w:p>
    <w:p>
      <w:pPr>
        <w:pStyle w:val="Heading2"/>
        <w:spacing w:after="100" w:before="200"/>
      </w:pPr>
      <w:r>
        <w:t xml:space="preserve">DOMAIN 3: CHILD HEALTH</w:t>
      </w:r>
    </w:p>
    <w:p>
      <w:pPr>
        <w:spacing w:after="50"/>
      </w:pPr>
      <w:r>
        <w:t xml:space="preserve">Legislative Foundation:</w:t>
      </w:r>
    </w:p>
    <w:p>
      <w:pPr>
        <w:spacing w:after="100"/>
      </w:pPr>
      <w:r>
        <w:t xml:space="preserve">Preventive and primary care services for children (ages 1–21)</w:t>
      </w:r>
    </w:p>
    <w:p>
      <w:pPr>
        <w:spacing w:after="50"/>
      </w:pPr>
      <w:r>
        <w:t xml:space="preserve">Purpose:</w:t>
      </w:r>
    </w:p>
    <w:p>
      <w:pPr>
        <w:spacing w:after="150"/>
      </w:pPr>
      <w:r>
        <w:t xml:space="preserve">To promote health and well-being across childhood; prevent and manage chronic conditions; ensure access to preventive care, immunizations, oral health, behavioral/mental health, and injury prevention.</w:t>
      </w:r>
    </w:p>
    <w:p>
      <w:pPr>
        <w:pStyle w:val="Heading3"/>
        <w:spacing w:after="100" w:before="100"/>
      </w:pPr>
      <w:r>
        <w:t xml:space="preserve">Universal NPM – REQUIRED</w:t>
      </w:r>
    </w:p>
    <w:p>
      <w:pPr>
        <w:spacing w:after="50"/>
      </w:pPr>
      <w:r>
        <w:t xml:space="preserve">Medical Home – Overall &amp; Sub-components</w:t>
      </w:r>
    </w:p>
    <w:p>
      <w:pPr>
        <w:spacing w:after="50"/>
      </w:pPr>
      <w:r>
        <w:t xml:space="preserve">Percent of children with and without special health care needs, ages 0 through 17, who have a medical home</w:t>
      </w:r>
    </w:p>
    <w:p>
      <w:pPr>
        <w:spacing w:after="150"/>
      </w:pPr>
      <w:r>
        <w:t xml:space="preserve">Measure Domain: Clinical Health Systems</w:t>
      </w:r>
    </w:p>
    <w:p>
      <w:pPr>
        <w:pStyle w:val="Heading3"/>
        <w:spacing w:after="100" w:before="100"/>
      </w:pPr>
      <w:r>
        <w:t xml:space="preserve">Key Application/Reporting Areas</w:t>
      </w:r>
    </w:p>
    <w:p>
      <w:pPr>
        <w:spacing w:after="50"/>
      </w:pPr>
      <w:r>
        <w:t xml:space="preserve">Clinical Health Systems:</w:t>
      </w:r>
    </w:p>
    <w:p>
      <w:pPr>
        <w:spacing w:after="25"/>
      </w:pPr>
      <w:r>
        <w:t xml:space="preserve">• Primary care provider availability and access for children</w:t>
      </w:r>
    </w:p>
    <w:p>
      <w:pPr>
        <w:spacing w:after="25"/>
      </w:pPr>
      <w:r>
        <w:t xml:space="preserve">• Medical home/primary care system development</w:t>
      </w:r>
    </w:p>
    <w:p>
      <w:pPr>
        <w:spacing w:after="25"/>
      </w:pPr>
      <w:r>
        <w:t xml:space="preserve">• Developmental screening integration in clinical settings</w:t>
      </w:r>
    </w:p>
    <w:p>
      <w:pPr>
        <w:spacing w:after="25"/>
      </w:pPr>
      <w:r>
        <w:t xml:space="preserve">• Immunization programs and provider training</w:t>
      </w:r>
    </w:p>
    <w:p>
      <w:pPr>
        <w:spacing w:after="100"/>
      </w:pPr>
      <w:r>
        <w:t xml:space="preserve">• Oral health provider network and dental home establishment</w:t>
      </w:r>
    </w:p>
    <w:p>
      <w:pPr>
        <w:spacing w:after="50"/>
      </w:pPr>
      <w:r>
        <w:t xml:space="preserve">Health Behaviors &amp; Prevention:</w:t>
      </w:r>
    </w:p>
    <w:p>
      <w:pPr>
        <w:spacing w:after="25"/>
      </w:pPr>
      <w:r>
        <w:t xml:space="preserve">• Nutrition and healthy eating promotion</w:t>
      </w:r>
    </w:p>
    <w:p>
      <w:pPr>
        <w:spacing w:after="25"/>
      </w:pPr>
      <w:r>
        <w:t xml:space="preserve">• Physical activity and exercise programs</w:t>
      </w:r>
    </w:p>
    <w:p>
      <w:pPr>
        <w:spacing w:after="100"/>
      </w:pPr>
      <w:r>
        <w:t xml:space="preserve">• Injury prevention (vehicle, water, home, sports safety)</w:t>
      </w:r>
    </w:p>
    <w:p>
      <w:pPr>
        <w:spacing w:after="50"/>
      </w:pPr>
      <w:r>
        <w:t xml:space="preserve">Community Health Factors &amp; Social Determinants:</w:t>
      </w:r>
    </w:p>
    <w:p>
      <w:pPr>
        <w:spacing w:after="25"/>
      </w:pPr>
      <w:r>
        <w:t xml:space="preserve">• Food security and WIC coordination</w:t>
      </w:r>
    </w:p>
    <w:p>
      <w:pPr>
        <w:spacing w:after="25"/>
      </w:pPr>
      <w:r>
        <w:t xml:space="preserve">• Housing stability and homelessness prevention</w:t>
      </w:r>
    </w:p>
    <w:p>
      <w:pPr>
        <w:spacing w:after="25"/>
      </w:pPr>
      <w:r>
        <w:t xml:space="preserve">• Transportation access</w:t>
      </w:r>
    </w:p>
    <w:p>
      <w:pPr>
        <w:spacing w:after="200"/>
      </w:pPr>
      <w:r>
        <w:t xml:space="preserve">• Addressing racial/ethnic health disparities</w:t>
      </w:r>
    </w:p>
    <w:p>
      <w:pPr>
        <w:pStyle w:val="Heading2"/>
        <w:spacing w:after="100" w:before="200"/>
      </w:pPr>
      <w:r>
        <w:t xml:space="preserve">DOMAIN 4: ADOLESCENT HEALTH</w:t>
      </w:r>
    </w:p>
    <w:p>
      <w:pPr>
        <w:spacing w:after="50"/>
      </w:pPr>
      <w:r>
        <w:t xml:space="preserve">Legislative Foundation:</w:t>
      </w:r>
    </w:p>
    <w:p>
      <w:pPr>
        <w:spacing w:after="100"/>
      </w:pPr>
      <w:r>
        <w:t xml:space="preserve">Preventive and primary care services for children (ages 12–21)</w:t>
      </w:r>
    </w:p>
    <w:p>
      <w:pPr>
        <w:spacing w:after="50"/>
      </w:pPr>
      <w:r>
        <w:t xml:space="preserve">Purpose:</w:t>
      </w:r>
    </w:p>
    <w:p>
      <w:pPr>
        <w:spacing w:after="150"/>
      </w:pPr>
      <w:r>
        <w:t xml:space="preserve">To address unique adolescent health needs; promote mental health and substance use prevention; support healthy development, sexual health, and injury prevention.</w:t>
      </w:r>
    </w:p>
    <w:p>
      <w:pPr>
        <w:pStyle w:val="Heading3"/>
        <w:spacing w:after="100" w:before="100"/>
      </w:pPr>
      <w:r>
        <w:t xml:space="preserve">Key Application/Reporting Areas</w:t>
      </w:r>
    </w:p>
    <w:p>
      <w:pPr>
        <w:spacing w:after="50"/>
      </w:pPr>
      <w:r>
        <w:t xml:space="preserve">Clinical Health Systems:</w:t>
      </w:r>
    </w:p>
    <w:p>
      <w:pPr>
        <w:spacing w:after="25"/>
      </w:pPr>
      <w:r>
        <w:t xml:space="preserve">• Access to adolescent-appropriate primary and preventive care</w:t>
      </w:r>
    </w:p>
    <w:p>
      <w:pPr>
        <w:spacing w:after="25"/>
      </w:pPr>
      <w:r>
        <w:t xml:space="preserve">• Mental health and behavioral health provider capacity</w:t>
      </w:r>
    </w:p>
    <w:p>
      <w:pPr>
        <w:spacing w:after="25"/>
      </w:pPr>
      <w:r>
        <w:t xml:space="preserve">• Substance use screening and treatment services</w:t>
      </w:r>
    </w:p>
    <w:p>
      <w:pPr>
        <w:spacing w:after="100"/>
      </w:pPr>
      <w:r>
        <w:t xml:space="preserve">• Sexual and reproductive health services</w:t>
      </w:r>
    </w:p>
    <w:p>
      <w:pPr>
        <w:spacing w:after="50"/>
      </w:pPr>
      <w:r>
        <w:t xml:space="preserve">Health Behaviors &amp; Prevention:</w:t>
      </w:r>
    </w:p>
    <w:p>
      <w:pPr>
        <w:spacing w:after="25"/>
      </w:pPr>
      <w:r>
        <w:t xml:space="preserve">• Tobacco, vaping, and smoking prevention</w:t>
      </w:r>
    </w:p>
    <w:p>
      <w:pPr>
        <w:spacing w:after="25"/>
      </w:pPr>
      <w:r>
        <w:t xml:space="preserve">• Substance use prevention and treatment</w:t>
      </w:r>
    </w:p>
    <w:p>
      <w:pPr>
        <w:spacing w:after="25"/>
      </w:pPr>
      <w:r>
        <w:t xml:space="preserve">• Violence prevention and intervention</w:t>
      </w:r>
    </w:p>
    <w:p>
      <w:pPr>
        <w:spacing w:after="100"/>
      </w:pPr>
      <w:r>
        <w:t xml:space="preserve">• Injury prevention (vehicle safety, suicide prevention, sports injuries)</w:t>
      </w:r>
    </w:p>
    <w:p>
      <w:pPr>
        <w:spacing w:after="50"/>
      </w:pPr>
      <w:r>
        <w:t xml:space="preserve">Community Health Factors &amp; Social Determinants:</w:t>
      </w:r>
    </w:p>
    <w:p>
      <w:pPr>
        <w:spacing w:after="25"/>
      </w:pPr>
      <w:r>
        <w:t xml:space="preserve">• Mental health support and peer mentorship programs</w:t>
      </w:r>
    </w:p>
    <w:p>
      <w:pPr>
        <w:spacing w:after="25"/>
      </w:pPr>
      <w:r>
        <w:t xml:space="preserve">• Addressing bullying and cyberbullying</w:t>
      </w:r>
    </w:p>
    <w:p>
      <w:pPr>
        <w:spacing w:after="25"/>
      </w:pPr>
      <w:r>
        <w:t xml:space="preserve">• LGBTQ+ youth support and affirming services</w:t>
      </w:r>
    </w:p>
    <w:p>
      <w:pPr>
        <w:spacing w:after="200"/>
      </w:pPr>
      <w:r>
        <w:t xml:space="preserve">• Homelessness and housing instability prevention</w:t>
      </w:r>
    </w:p>
    <w:p>
      <w:pPr>
        <w:pStyle w:val="Heading2"/>
        <w:spacing w:after="100" w:before="200"/>
      </w:pPr>
      <w:r>
        <w:t xml:space="preserve">DOMAIN 5: CHILDREN WITH SPECIAL HEALTH CARE NEEDS (CSHCN)</w:t>
      </w:r>
    </w:p>
    <w:p>
      <w:pPr>
        <w:spacing w:after="50"/>
      </w:pPr>
      <w:r>
        <w:t xml:space="preserve">Legislative Foundation:</w:t>
      </w:r>
    </w:p>
    <w:p>
      <w:pPr>
        <w:spacing w:after="100"/>
      </w:pPr>
      <w:r>
        <w:t xml:space="preserve">Family-centered, community-based, coordinated care for children with special health care needs, including care coordination services</w:t>
      </w:r>
    </w:p>
    <w:p>
      <w:pPr>
        <w:spacing w:after="50"/>
      </w:pPr>
      <w:r>
        <w:t xml:space="preserve">Purpose:</w:t>
      </w:r>
    </w:p>
    <w:p>
      <w:pPr>
        <w:spacing w:after="150"/>
      </w:pPr>
      <w:r>
        <w:t xml:space="preserve">To ensure CSHCN receive comprehensive, coordinated, family-centered care; promote well-functioning systems of care; support transition to adult health care.</w:t>
      </w:r>
    </w:p>
    <w:p>
      <w:pPr>
        <w:pStyle w:val="Heading3"/>
        <w:spacing w:after="100" w:before="100"/>
      </w:pPr>
      <w:r>
        <w:t xml:space="preserve">Universal NPM – REQUIRED</w:t>
      </w:r>
    </w:p>
    <w:p>
      <w:pPr>
        <w:spacing w:after="50"/>
      </w:pPr>
      <w:r>
        <w:t xml:space="preserve">Medical Home – Overall (see Child Health domain)</w:t>
      </w:r>
    </w:p>
    <w:p>
      <w:pPr>
        <w:spacing w:after="150"/>
      </w:pPr>
      <w:r>
        <w:t xml:space="preserve">REQUIRED in both Child Health and CSHCN domains; counts as 1 NPM toward minimum of 5</w:t>
      </w:r>
    </w:p>
    <w:p>
      <w:pPr>
        <w:pStyle w:val="Heading3"/>
        <w:spacing w:after="100" w:before="100"/>
      </w:pPr>
      <w:r>
        <w:t xml:space="preserve">Key Application/Reporting Areas</w:t>
      </w:r>
    </w:p>
    <w:p>
      <w:pPr>
        <w:spacing w:after="50"/>
      </w:pPr>
      <w:r>
        <w:t xml:space="preserve">CSHCN System of Services Components:</w:t>
      </w:r>
    </w:p>
    <w:p>
      <w:pPr>
        <w:spacing w:after="25"/>
      </w:pPr>
      <w:r>
        <w:t xml:space="preserve">• Care coordination and case management programs</w:t>
      </w:r>
    </w:p>
    <w:p>
      <w:pPr>
        <w:spacing w:after="25"/>
      </w:pPr>
      <w:r>
        <w:t xml:space="preserve">• Medical home development and primary care access</w:t>
      </w:r>
    </w:p>
    <w:p>
      <w:pPr>
        <w:spacing w:after="25"/>
      </w:pPr>
      <w:r>
        <w:t xml:space="preserve">• Specialty care provider networks and referral systems</w:t>
      </w:r>
    </w:p>
    <w:p>
      <w:pPr>
        <w:spacing w:after="25"/>
      </w:pPr>
      <w:r>
        <w:t xml:space="preserve">• Rehabilitation services (physical, occupational, speech therapy)</w:t>
      </w:r>
    </w:p>
    <w:p>
      <w:pPr>
        <w:spacing w:after="100"/>
      </w:pPr>
      <w:r>
        <w:t xml:space="preserve">• Transition planning from pediatric to adult health care</w:t>
      </w:r>
    </w:p>
    <w:p>
      <w:pPr>
        <w:spacing w:after="50"/>
      </w:pPr>
      <w:r>
        <w:t xml:space="preserve">Family Partnership &amp; Engagement:</w:t>
      </w:r>
    </w:p>
    <w:p>
      <w:pPr>
        <w:spacing w:after="25"/>
      </w:pPr>
      <w:r>
        <w:t xml:space="preserve">• Family advisory committees and decision-making roles</w:t>
      </w:r>
    </w:p>
    <w:p>
      <w:pPr>
        <w:spacing w:after="25"/>
      </w:pPr>
      <w:r>
        <w:t xml:space="preserve">• Family-to-Family Health Information Centers (F2F) support</w:t>
      </w:r>
    </w:p>
    <w:p>
      <w:pPr>
        <w:spacing w:after="25"/>
      </w:pPr>
      <w:r>
        <w:t xml:space="preserve">• Peer support and family mentorship programs</w:t>
      </w:r>
    </w:p>
    <w:p>
      <w:pPr>
        <w:spacing w:after="100"/>
      </w:pPr>
      <w:r>
        <w:t xml:space="preserve">• Family leadership training and stipends</w:t>
      </w:r>
    </w:p>
    <w:p>
      <w:pPr>
        <w:spacing w:after="50"/>
      </w:pPr>
      <w:r>
        <w:t xml:space="preserve">Health Insurance &amp; Financial Support:</w:t>
      </w:r>
    </w:p>
    <w:p>
      <w:pPr>
        <w:spacing w:after="25"/>
      </w:pPr>
      <w:r>
        <w:t xml:space="preserve">• Medicaid and CHIP eligibility, enrollment, and coverage optimization</w:t>
      </w:r>
    </w:p>
    <w:p>
      <w:pPr>
        <w:spacing w:after="25"/>
      </w:pPr>
      <w:r>
        <w:t xml:space="preserve">• Waiver programs for home and community-based services</w:t>
      </w:r>
    </w:p>
    <w:p>
      <w:pPr>
        <w:spacing w:after="200"/>
      </w:pPr>
      <w:r>
        <w:t xml:space="preserve">• Coordination between Title V and Medicaid regarding CSHCN services</w:t>
      </w:r>
    </w:p>
    <w:p>
      <w:pPr>
        <w:pStyle w:val="Heading2"/>
        <w:spacing w:after="100" w:before="200"/>
      </w:pPr>
      <w:r>
        <w:t xml:space="preserve">DOMAIN 6: CROSS-CUTTING &amp; SYSTEMS BUILDING</w:t>
      </w:r>
    </w:p>
    <w:p>
      <w:pPr>
        <w:spacing w:after="50"/>
      </w:pPr>
      <w:r>
        <w:t xml:space="preserve">Purpose:</w:t>
      </w:r>
    </w:p>
    <w:p>
      <w:pPr>
        <w:spacing w:after="150"/>
      </w:pPr>
      <w:r>
        <w:t xml:space="preserve">To address priority needs that apply across multiple MCH population domains or relate to program capacity, systems integration, organizational change, and foundational infrastructure supporting all MCH services.</w:t>
      </w:r>
    </w:p>
    <w:p>
      <w:pPr>
        <w:pStyle w:val="Heading3"/>
        <w:spacing w:after="100" w:before="100"/>
      </w:pPr>
      <w:r>
        <w:t xml:space="preserve">Available Measures:</w:t>
      </w:r>
    </w:p>
    <w:p>
      <w:pPr>
        <w:spacing w:after="100"/>
      </w:pPr>
      <w:r>
        <w:t xml:space="preserve">National Performance Measures (NPMs): None currently specified in the NPM framework</w:t>
      </w:r>
    </w:p>
    <w:p>
      <w:pPr>
        <w:spacing w:after="50"/>
      </w:pPr>
      <w:r>
        <w:t xml:space="preserve">State Performance Measures (SPMs) - OPTIONAL (not required)</w:t>
      </w:r>
    </w:p>
    <w:p>
      <w:pPr>
        <w:spacing w:after="100"/>
      </w:pPr>
      <w:r>
        <w:t xml:space="preserve">States may develop SPMs to address cross-cutting priority needs, such as:</w:t>
      </w:r>
    </w:p>
    <w:p>
      <w:pPr>
        <w:pStyle w:val="Heading3"/>
        <w:spacing w:after="100" w:before="100"/>
      </w:pPr>
      <w:r>
        <w:t xml:space="preserve">Key Application/Reporting Areas</w:t>
      </w:r>
    </w:p>
    <w:p>
      <w:pPr>
        <w:spacing w:after="50"/>
      </w:pPr>
      <w:r>
        <w:t xml:space="preserve">Family &amp; Community Partnerships:</w:t>
      </w:r>
    </w:p>
    <w:p>
      <w:pPr>
        <w:spacing w:after="25"/>
      </w:pPr>
      <w:r>
        <w:t xml:space="preserve">• Organizational vision and commitment to family partnership</w:t>
      </w:r>
    </w:p>
    <w:p>
      <w:pPr>
        <w:spacing w:after="25"/>
      </w:pPr>
      <w:r>
        <w:t xml:space="preserve">• Contracting with family-led organizations</w:t>
      </w:r>
    </w:p>
    <w:p>
      <w:pPr>
        <w:spacing w:after="100"/>
      </w:pPr>
      <w:r>
        <w:t xml:space="preserve">• Advisory committee structure and family leadership roles</w:t>
      </w:r>
    </w:p>
    <w:p>
      <w:pPr>
        <w:spacing w:after="50"/>
      </w:pPr>
      <w:r>
        <w:t xml:space="preserve">Workforce Development &amp; Capacity:</w:t>
      </w:r>
    </w:p>
    <w:p>
      <w:pPr>
        <w:spacing w:after="25"/>
      </w:pPr>
      <w:r>
        <w:t xml:space="preserve">• Title V program structure and staffing levels</w:t>
      </w:r>
    </w:p>
    <w:p>
      <w:pPr>
        <w:spacing w:after="25"/>
      </w:pPr>
      <w:r>
        <w:t xml:space="preserve">• MCH workforce composition and training needs</w:t>
      </w:r>
    </w:p>
    <w:p>
      <w:pPr>
        <w:spacing w:after="100"/>
      </w:pPr>
      <w:r>
        <w:t xml:space="preserve">• Recruitment and retention initiatives</w:t>
      </w:r>
    </w:p>
    <w:p>
      <w:pPr>
        <w:spacing w:after="50"/>
      </w:pPr>
      <w:r>
        <w:t xml:space="preserve">MCH Data Systems &amp; Capacity:</w:t>
      </w:r>
    </w:p>
    <w:p>
      <w:pPr>
        <w:spacing w:after="25"/>
      </w:pPr>
      <w:r>
        <w:t xml:space="preserve">• Data collection, analysis, and dissemination infrastructure</w:t>
      </w:r>
    </w:p>
    <w:p>
      <w:pPr>
        <w:spacing w:after="25"/>
      </w:pPr>
      <w:r>
        <w:t xml:space="preserve">• Data linkages across systems (health, education, social services)</w:t>
      </w:r>
    </w:p>
    <w:p>
      <w:pPr>
        <w:spacing w:after="100"/>
      </w:pPr>
      <w:r>
        <w:t xml:space="preserve">• Real-time data for rapid response to emerging issues</w:t>
      </w:r>
    </w:p>
    <w:p>
      <w:pPr>
        <w:spacing w:after="50"/>
      </w:pPr>
      <w:r>
        <w:t xml:space="preserve">Equity &amp; Disparity Reduction:</w:t>
      </w:r>
    </w:p>
    <w:p>
      <w:pPr>
        <w:spacing w:after="25"/>
      </w:pPr>
      <w:r>
        <w:t xml:space="preserve">• Health equity framework and integration across all domains</w:t>
      </w:r>
    </w:p>
    <w:p>
      <w:pPr>
        <w:spacing w:after="25"/>
      </w:pPr>
      <w:r>
        <w:t xml:space="preserve">• Disaggregated data and intersectional analysis</w:t>
      </w:r>
    </w:p>
    <w:p>
      <w:pPr>
        <w:spacing w:after="25"/>
      </w:pPr>
      <w:r>
        <w:t xml:space="preserve">• Strategies to address racial/ethnic, geographic, and socioeconomic disparities</w:t>
      </w:r>
    </w:p>
    <w:p>
      <w:pPr>
        <w:spacing w:after="200"/>
      </w:pPr>
      <w:r>
        <w:t xml:space="preserve">• Culturally tailored program adaptations</w:t>
      </w:r>
    </w:p>
    <w:p>
      <w:pPr>
        <w:pStyle w:val="Heading2"/>
        <w:spacing w:after="100" w:before="200"/>
      </w:pPr>
      <w:r>
        <w:t xml:space="preserve">KEY THEMES IN FY27 GUIDANCE (2025 UPDATE)</w:t>
      </w:r>
    </w:p>
    <w:p>
      <w:pPr>
        <w:spacing w:after="50"/>
      </w:pPr>
      <w:r>
        <w:t xml:space="preserve">1. Community Health Factors as a Measure Domain</w:t>
      </w:r>
    </w:p>
    <w:p>
      <w:pPr>
        <w:spacing w:after="100"/>
      </w:pPr>
      <w:r>
        <w:t xml:space="preserve">Enhanced focus on social determinants: housing, food security, transportation, childcare, environmental health. Discrimination and health equity as explicit NPM options.</w:t>
      </w:r>
    </w:p>
    <w:p>
      <w:pPr>
        <w:spacing w:after="50"/>
      </w:pPr>
      <w:r>
        <w:t xml:space="preserve">2. Family Partnership as Core Capacity</w:t>
      </w:r>
    </w:p>
    <w:p>
      <w:pPr>
        <w:spacing w:after="100"/>
      </w:pPr>
      <w:r>
        <w:t xml:space="preserve">Formal definition: patients, families, and health professionals working in active partnership at various levels. Required demonstration of family engagement in decision-making and program planning.</w:t>
      </w:r>
    </w:p>
    <w:p>
      <w:pPr>
        <w:spacing w:after="50"/>
      </w:pPr>
      <w:r>
        <w:t xml:space="preserve">3. Life-Course Approach</w:t>
      </w:r>
    </w:p>
    <w:p>
      <w:pPr>
        <w:spacing w:after="100"/>
      </w:pPr>
      <w:r>
        <w:t xml:space="preserve">Recognition of how early experiences shape lifelong health. Continuity of care from preconception through adolescence.</w:t>
      </w:r>
    </w:p>
    <w:p>
      <w:pPr>
        <w:spacing w:after="50"/>
      </w:pPr>
      <w:r>
        <w:t xml:space="preserve">4. Data-Driven Programming &amp; Accountability</w:t>
      </w:r>
    </w:p>
    <w:p>
      <w:pPr>
        <w:spacing w:after="100"/>
      </w:pPr>
      <w:r>
        <w:t xml:space="preserve">Three-tiered framework: NOMs, NPMs, ESMs (plus SPMs). Required measurement of progress on short- and medium-term outcomes.</w:t>
      </w:r>
    </w:p>
    <w:p>
      <w:pPr>
        <w:spacing w:after="50"/>
      </w:pPr>
      <w:r>
        <w:t xml:space="preserve">5. Health Equity &amp; Disparity Reduction</w:t>
      </w:r>
    </w:p>
    <w:p>
      <w:pPr>
        <w:spacing w:after="200"/>
      </w:pPr>
      <w:r>
        <w:t xml:space="preserve">Explicit examination of disparities by race/ethnicity, income, geography. Culturally responsive and trauma-informed services.</w:t>
      </w:r>
    </w:p>
    <w:p>
      <w:pPr>
        <w:spacing w:before="200"/>
      </w:pPr>
      <w:r>
        <w:t xml:space="preserve">Document Version: FY27 Guidance, Tenth Edition (updated 2025)</w:t>
      </w:r>
    </w:p>
    <w:p>
      <w:r>
        <w:t xml:space="preserve">Prepared: July 30, 2026 | For: Palau Title V Block Grant Review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2026-07-30T19:09:43.982Z</dcterms:created>
  <dcterms:modified xsi:type="dcterms:W3CDTF">2026-07-30T19:09:43.983Z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