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jc w:val="center"/>
        <w:tblLook w:val="04A0" w:firstRow="1" w:lastRow="0" w:firstColumn="1" w:lastColumn="0" w:noHBand="0" w:noVBand="1"/>
      </w:tblPr>
      <w:tblGrid>
        <w:gridCol w:w="2274"/>
        <w:gridCol w:w="6786"/>
      </w:tblGrid>
      <w:tr w:rsidR="008577B5" w:rsidRPr="007C684D" w14:paraId="2655DAB3" w14:textId="77777777" w:rsidTr="009006F0">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6A06ACD" w14:textId="15D08CF0" w:rsidR="008577B5" w:rsidRPr="007C684D" w:rsidRDefault="008577B5" w:rsidP="009006F0">
            <w:pPr>
              <w:jc w:val="center"/>
              <w:rPr>
                <w:sz w:val="18"/>
                <w:lang w:val="es-ES"/>
              </w:rPr>
            </w:pPr>
            <w:r w:rsidRPr="007C684D">
              <w:rPr>
                <w:sz w:val="18"/>
                <w:lang w:val="es-ES"/>
              </w:rPr>
              <w:t>CÓDIGO DEL ALUMNO</w:t>
            </w:r>
          </w:p>
        </w:tc>
        <w:tc>
          <w:tcPr>
            <w:tcW w:w="7745" w:type="dxa"/>
            <w:vAlign w:val="center"/>
          </w:tcPr>
          <w:p w14:paraId="532DFD28" w14:textId="77777777" w:rsidR="008577B5" w:rsidRPr="007C684D" w:rsidRDefault="008577B5" w:rsidP="009006F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9006F0">
        <w:trPr>
          <w:trHeight w:val="483"/>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46B3BF79" w14:textId="77777777" w:rsidR="008577B5" w:rsidRPr="007C684D" w:rsidRDefault="00E4378C" w:rsidP="009006F0">
            <w:pPr>
              <w:jc w:val="center"/>
              <w:rPr>
                <w:sz w:val="18"/>
                <w:lang w:val="es-ES"/>
              </w:rPr>
            </w:pPr>
            <w:r w:rsidRPr="00E4378C">
              <w:rPr>
                <w:sz w:val="18"/>
                <w:lang w:val="es-ES"/>
              </w:rPr>
              <w:t>208114129</w:t>
            </w:r>
          </w:p>
        </w:tc>
        <w:tc>
          <w:tcPr>
            <w:tcW w:w="7745" w:type="dxa"/>
            <w:vAlign w:val="center"/>
          </w:tcPr>
          <w:p w14:paraId="78C55281"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9006F0">
        <w:trPr>
          <w:trHeight w:val="467"/>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0E0C120" w14:textId="77777777" w:rsidR="008577B5" w:rsidRPr="007C684D" w:rsidRDefault="00E4378C" w:rsidP="009006F0">
            <w:pPr>
              <w:jc w:val="center"/>
              <w:rPr>
                <w:sz w:val="18"/>
                <w:lang w:val="es-ES"/>
              </w:rPr>
            </w:pPr>
            <w:r w:rsidRPr="00E4378C">
              <w:rPr>
                <w:sz w:val="18"/>
                <w:lang w:val="es-ES"/>
              </w:rPr>
              <w:t>214290621</w:t>
            </w:r>
          </w:p>
        </w:tc>
        <w:tc>
          <w:tcPr>
            <w:tcW w:w="7745" w:type="dxa"/>
            <w:vAlign w:val="center"/>
          </w:tcPr>
          <w:p w14:paraId="795DD412"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9006F0">
        <w:trPr>
          <w:trHeight w:val="483"/>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D760B6D" w14:textId="77777777" w:rsidR="008577B5" w:rsidRPr="007C684D" w:rsidRDefault="00E4378C" w:rsidP="009006F0">
            <w:pPr>
              <w:jc w:val="center"/>
              <w:rPr>
                <w:sz w:val="18"/>
                <w:lang w:val="es-ES"/>
              </w:rPr>
            </w:pPr>
            <w:r w:rsidRPr="00E4378C">
              <w:rPr>
                <w:sz w:val="18"/>
                <w:lang w:val="es-ES"/>
              </w:rPr>
              <w:t>214291032</w:t>
            </w:r>
          </w:p>
        </w:tc>
        <w:tc>
          <w:tcPr>
            <w:tcW w:w="7745" w:type="dxa"/>
            <w:vAlign w:val="center"/>
          </w:tcPr>
          <w:p w14:paraId="34A1533A"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bookmarkStart w:id="0" w:name="_GoBack"/>
        <w:bookmarkEnd w:id="0"/>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FA79A9">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FA79A9">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FA79A9">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FA79A9">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FA79A9">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FA79A9">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FA79A9">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FA79A9">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FA79A9">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FA79A9">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FA79A9">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FA79A9">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FA79A9">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FA79A9">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FA79A9">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2D238B0F" w:rsidR="00BE497E" w:rsidRDefault="00BE497E" w:rsidP="00B02A70">
      <w:pPr>
        <w:jc w:val="both"/>
        <w:rPr>
          <w:lang w:val="es-ES"/>
        </w:rPr>
      </w:pPr>
      <w:r>
        <w:rPr>
          <w:lang w:val="es-ES"/>
        </w:rPr>
        <w:t xml:space="preserve">El presente proyecto está enfocado en la mejora y agilización del tráfico </w:t>
      </w:r>
      <w:r w:rsidR="00CF0207">
        <w:rPr>
          <w:lang w:val="es-ES"/>
        </w:rPr>
        <w:t xml:space="preserve">vehicular </w:t>
      </w:r>
      <w:r>
        <w:rPr>
          <w:lang w:val="es-ES"/>
        </w:rPr>
        <w:t xml:space="preserve">que afecta a la Zona Metropolitana </w:t>
      </w:r>
      <w:r w:rsidR="00670AC1">
        <w:rPr>
          <w:lang w:val="es-ES"/>
        </w:rPr>
        <w:t xml:space="preserve">de Guadalajara </w:t>
      </w:r>
      <w:r>
        <w:rPr>
          <w:lang w:val="es-ES"/>
        </w:rPr>
        <w:t xml:space="preserve">en el transcurso del día, </w:t>
      </w:r>
      <w:r w:rsidR="000210A2">
        <w:rPr>
          <w:lang w:val="es-ES"/>
        </w:rPr>
        <w:t xml:space="preserve">ofreciendo una ruta </w:t>
      </w:r>
      <w:r w:rsidR="00CF0207">
        <w:rPr>
          <w:lang w:val="es-ES"/>
        </w:rPr>
        <w:t>la cual ayudará a transportarse de manera efectiva y rápida por las diferentes vialidades que tiene la urbe. Actualmente los conductores de vehículos tienen que pasar más de 33.4 horas por año laboral (240 días aprox.) detenidos en el tráfico, lo que lo convierte en la segunda ciudad a nivel nacional en horas perdidas en el tráfico. Esto, aunado a la creciente suma de vehículos que circulan por las calles y al aumento de habitantes que diariamente se movilizan en transporte público, provocan que las arterias viales de la ciudad se ven congestionadas tanto de vehículos particulares como de vehículos de transporte, provocando la pérdida de t</w:t>
      </w:r>
      <w:r w:rsidR="00B04F79">
        <w:rPr>
          <w:lang w:val="es-ES"/>
        </w:rPr>
        <w:t xml:space="preserve">iempo en el tráfico. En la zona metropolitana de Guadalajara, actualmente hay un automóvil por cada </w:t>
      </w:r>
      <w:r w:rsidR="00F45209">
        <w:rPr>
          <w:lang w:val="es-ES"/>
        </w:rPr>
        <w:t xml:space="preserve">dos </w:t>
      </w:r>
      <w:r w:rsidR="00B04F79">
        <w:rPr>
          <w:lang w:val="es-ES"/>
        </w:rPr>
        <w:t>habitante</w:t>
      </w:r>
      <w:r w:rsidR="00F45209">
        <w:rPr>
          <w:lang w:val="es-ES"/>
        </w:rPr>
        <w:t>s</w:t>
      </w:r>
      <w:r w:rsidR="00B04F79">
        <w:rPr>
          <w:lang w:val="es-ES"/>
        </w:rPr>
        <w:t xml:space="preserve">, lo que quiere decir que existen </w:t>
      </w:r>
      <w:r w:rsidR="00F45209">
        <w:rPr>
          <w:lang w:val="es-ES"/>
        </w:rPr>
        <w:t>más de 2</w:t>
      </w:r>
      <w:r w:rsidR="00B04F79">
        <w:rPr>
          <w:lang w:val="es-ES"/>
        </w:rPr>
        <w:t xml:space="preserve"> millones </w:t>
      </w:r>
      <w:r w:rsidR="00F45209">
        <w:rPr>
          <w:lang w:val="es-ES"/>
        </w:rPr>
        <w:t>300</w:t>
      </w:r>
      <w:r w:rsidR="00B04F79">
        <w:rPr>
          <w:lang w:val="es-ES"/>
        </w:rPr>
        <w:t xml:space="preserve"> mil vehículos circulando por la ciudad, la cual se ve colapsada por las llamadas “horas pico” que ya duran todo el día</w:t>
      </w:r>
      <w:r w:rsidR="00090D77">
        <w:rPr>
          <w:lang w:val="es-ES"/>
        </w:rPr>
        <w:t xml:space="preserve"> en toda la zona. Cabe resaltar que </w:t>
      </w:r>
      <w:r w:rsidR="00A92EF9">
        <w:rPr>
          <w:lang w:val="es-ES"/>
        </w:rPr>
        <w:t>el aumento de vehículos en la ZMG afecta considerablemente</w:t>
      </w:r>
      <w:r w:rsidR="00090D77">
        <w:rPr>
          <w:lang w:val="es-ES"/>
        </w:rPr>
        <w:t xml:space="preserve"> el impacto ambiental que provoca una mayor contaminación haciendo que diferentes puntos de la zona se encuentren bajo contingencia ambiental</w:t>
      </w:r>
      <w:r w:rsidR="001F041D">
        <w:rPr>
          <w:lang w:val="es-ES"/>
        </w:rPr>
        <w:t xml:space="preserve">. </w:t>
      </w:r>
      <w:r w:rsidR="00A92EF9">
        <w:rPr>
          <w:lang w:val="es-ES"/>
        </w:rPr>
        <w:t>Esto ya que solamente existen poco más de 1 millón de árboles en la zona, lo que hace que la limpieza del aire sea cada vez más difícil y complicado.</w:t>
      </w:r>
    </w:p>
    <w:p w14:paraId="4A8C51B8" w14:textId="6052AFF5" w:rsidR="00C63DA4" w:rsidRPr="00C72140" w:rsidRDefault="00C63DA4" w:rsidP="00A4317D">
      <w:pPr>
        <w:pStyle w:val="Ttulo1"/>
        <w:rPr>
          <w:lang w:val="es-ES"/>
        </w:rPr>
      </w:pPr>
      <w:r w:rsidRPr="00C72140">
        <w:rPr>
          <w:lang w:val="es-ES"/>
        </w:rPr>
        <w:t>Justificación</w:t>
      </w:r>
    </w:p>
    <w:p w14:paraId="25130860" w14:textId="2194B0E3"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r w:rsidR="003E36E1">
        <w:rPr>
          <w:lang w:val="es-ES"/>
        </w:rPr>
        <w:t xml:space="preserve"> Al estar detenidos los vehículos provocan que las emisiones se concentren en una cierta zona de la ciudad aumentando la mala calidad del aire y provocando las enfermedades y problemas respiratorios, los cuales han estado en aumento últimamente. Un vehículo mal afinado o no afinado, emite más partículas contaminantes</w:t>
      </w:r>
      <w:r w:rsidR="00DE3FF7">
        <w:rPr>
          <w:lang w:val="es-ES"/>
        </w:rPr>
        <w:t xml:space="preserve"> que uno que está debidamente afinado, pero este porcentaje es mucho menor, ya que sólo el 14.14% de los conductores llevan a afinar sus vehículos a los talleres certificados para esta acción. Con esta innovación en la movilidad urbana, se pretende que los conductores ahorren una cantidad considerable en dinero que podrían invertir en la compra de combustible, ya que se ahorraría en cada trayecto, haciendo rendir más las cargas que se hacen </w:t>
      </w:r>
      <w:r w:rsidR="00A76DD1">
        <w:rPr>
          <w:lang w:val="es-ES"/>
        </w:rPr>
        <w:t>periódicamente.</w:t>
      </w:r>
    </w:p>
    <w:p w14:paraId="1CA0D6C1" w14:textId="77777777" w:rsidR="00B4679A" w:rsidRDefault="00B4679A" w:rsidP="00B02A70">
      <w:pPr>
        <w:jc w:val="both"/>
        <w:rPr>
          <w:lang w:val="es-ES"/>
        </w:rPr>
      </w:pPr>
    </w:p>
    <w:p w14:paraId="7763B5E0" w14:textId="6AA561F2" w:rsidR="006D2A12" w:rsidRDefault="00EC52BC" w:rsidP="00DC20C7">
      <w:pPr>
        <w:pStyle w:val="Citadestacada"/>
        <w:rPr>
          <w:lang w:val="es-ES"/>
        </w:rPr>
      </w:pPr>
      <w:r>
        <w:rPr>
          <w:lang w:val="es-ES"/>
        </w:rPr>
        <w:lastRenderedPageBreak/>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38DFD2A3"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6D3F50">
        <w:rPr>
          <w:b/>
          <w:lang w:val="es-ES"/>
        </w:rPr>
        <w:t xml:space="preserve">“Cthulhu </w:t>
      </w:r>
      <w:proofErr w:type="spellStart"/>
      <w:r w:rsidR="006D3F50">
        <w:rPr>
          <w:b/>
          <w:lang w:val="es-ES"/>
        </w:rPr>
        <w:t>Corp</w:t>
      </w:r>
      <w:proofErr w:type="spellEnd"/>
      <w:r w:rsidR="006D3F50">
        <w:rPr>
          <w:b/>
          <w:lang w:val="es-ES"/>
        </w:rPr>
        <w:t>”</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81243AA" w:rsidR="00814220" w:rsidRDefault="006D3F50" w:rsidP="00AD0AB7">
      <w:pPr>
        <w:jc w:val="both"/>
        <w:rPr>
          <w:lang w:val="es-ES"/>
        </w:rPr>
      </w:pPr>
      <w:r>
        <w:rPr>
          <w:b/>
          <w:lang w:val="es-ES"/>
        </w:rPr>
        <w:t xml:space="preserve">“Cthulhu </w:t>
      </w:r>
      <w:proofErr w:type="spellStart"/>
      <w:r>
        <w:rPr>
          <w:b/>
          <w:lang w:val="es-ES"/>
        </w:rPr>
        <w:t>Corp</w:t>
      </w:r>
      <w:proofErr w:type="spellEnd"/>
      <w:r>
        <w:rPr>
          <w:b/>
          <w:lang w:val="es-ES"/>
        </w:rPr>
        <w:t xml:space="preserve">” </w:t>
      </w:r>
      <w:r w:rsidR="00DA2DDA" w:rsidRPr="00DA2DDA">
        <w:rPr>
          <w:lang w:val="es-ES"/>
        </w:rPr>
        <w:t>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6AF27614" w:rsidR="00C1705A" w:rsidRDefault="006D3F50" w:rsidP="004A2B0A">
      <w:pPr>
        <w:rPr>
          <w:lang w:val="es-ES"/>
        </w:rPr>
      </w:pPr>
      <w:r>
        <w:rPr>
          <w:b/>
          <w:lang w:val="es-ES"/>
        </w:rPr>
        <w:t xml:space="preserve">“Cthulhu </w:t>
      </w:r>
      <w:proofErr w:type="spellStart"/>
      <w:r>
        <w:rPr>
          <w:b/>
          <w:lang w:val="es-ES"/>
        </w:rPr>
        <w:t>Corp</w:t>
      </w:r>
      <w:proofErr w:type="spellEnd"/>
      <w:r>
        <w:rPr>
          <w:b/>
          <w:lang w:val="es-ES"/>
        </w:rPr>
        <w:t>”</w:t>
      </w:r>
      <w:r w:rsidR="004A2B0A"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12B1549A" w14:textId="77777777" w:rsidR="00F055E2" w:rsidRDefault="00F055E2" w:rsidP="00A817F3">
      <w:pPr>
        <w:pStyle w:val="Ttulo2"/>
        <w:rPr>
          <w:lang w:val="es-ES"/>
        </w:rPr>
      </w:pPr>
      <w:bookmarkStart w:id="4" w:name="_Toc484723293"/>
    </w:p>
    <w:p w14:paraId="5AA151FC" w14:textId="38075DB4" w:rsidR="00A817F3" w:rsidRPr="00A817F3" w:rsidRDefault="00A817F3" w:rsidP="00F055E2">
      <w:pPr>
        <w:pStyle w:val="Ttulo2"/>
        <w:rPr>
          <w:lang w:val="es-ES"/>
        </w:rPr>
      </w:pPr>
      <w:r>
        <w:rPr>
          <w:lang w:val="es-ES"/>
        </w:rPr>
        <w:t>Restricciones</w:t>
      </w:r>
      <w:bookmarkEnd w:id="4"/>
      <w:r>
        <w:rPr>
          <w:lang w:val="es-ES"/>
        </w:rPr>
        <w:t xml:space="preserve"> </w:t>
      </w:r>
    </w:p>
    <w:p w14:paraId="63380A34" w14:textId="676C6DB9" w:rsidR="006336BD" w:rsidRPr="00F055E2" w:rsidRDefault="006336BD" w:rsidP="00F055E2">
      <w:pPr>
        <w:jc w:val="both"/>
        <w:rPr>
          <w:lang w:val="es-ES"/>
        </w:rPr>
      </w:pPr>
      <w:r w:rsidRPr="00F055E2">
        <w:rPr>
          <w:lang w:val="es-ES"/>
        </w:rPr>
        <w:t xml:space="preserve">El usuario puede no utilizar la aplicación durante todos sus trayectos </w:t>
      </w:r>
      <w:r w:rsidR="00C80E76" w:rsidRPr="00F055E2">
        <w:rPr>
          <w:lang w:val="es-ES"/>
        </w:rPr>
        <w:t>lo cual entorpecería la toma de datos y por ende la predicción del manejo del usuario</w:t>
      </w:r>
      <w:r w:rsidR="00F055E2">
        <w:rPr>
          <w:lang w:val="es-ES"/>
        </w:rPr>
        <w:t>.</w:t>
      </w:r>
    </w:p>
    <w:p w14:paraId="72BF9E0F" w14:textId="1781BE40" w:rsidR="00C80E76" w:rsidRPr="00F055E2" w:rsidRDefault="00C80E76" w:rsidP="00F055E2">
      <w:pPr>
        <w:jc w:val="both"/>
        <w:rPr>
          <w:lang w:val="es-ES"/>
        </w:rPr>
      </w:pPr>
      <w:r w:rsidRPr="00F055E2">
        <w:rPr>
          <w:lang w:val="es-ES"/>
        </w:rPr>
        <w:t>La mala mecánica del vehículo podría afectar directamente el consumo de gasolina</w:t>
      </w:r>
      <w:r w:rsidR="00F055E2">
        <w:rPr>
          <w:lang w:val="es-ES"/>
        </w:rPr>
        <w:t>.</w:t>
      </w:r>
    </w:p>
    <w:p w14:paraId="07F97EFB" w14:textId="0AF514EC" w:rsidR="00C80E76" w:rsidRPr="00F055E2" w:rsidRDefault="00C80E76" w:rsidP="00F055E2">
      <w:pPr>
        <w:jc w:val="both"/>
        <w:rPr>
          <w:lang w:val="es-ES"/>
        </w:rPr>
      </w:pPr>
      <w:r w:rsidRPr="00F055E2">
        <w:rPr>
          <w:lang w:val="es-ES"/>
        </w:rPr>
        <w:t xml:space="preserve">Evitar la captura de datos de ajustes mecánicos afecta a la predicción de consumo de </w:t>
      </w:r>
      <w:r w:rsidR="00F055E2" w:rsidRPr="00F055E2">
        <w:rPr>
          <w:lang w:val="es-ES"/>
        </w:rPr>
        <w:t>gasolina,</w:t>
      </w:r>
      <w:r w:rsidRPr="00F055E2">
        <w:rPr>
          <w:lang w:val="es-ES"/>
        </w:rPr>
        <w:t xml:space="preserve"> así como el estado de conducción</w:t>
      </w:r>
      <w:r w:rsidR="00F055E2" w:rsidRPr="00F055E2">
        <w:rPr>
          <w:lang w:val="es-ES"/>
        </w:rPr>
        <w:t>.</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6" w:name="_Toc484723295"/>
      <w:r>
        <w:rPr>
          <w:lang w:val="es-ES"/>
        </w:rPr>
        <w:t>Módulo a diseñar</w:t>
      </w:r>
      <w:bookmarkEnd w:id="6"/>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lastRenderedPageBreak/>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C07FEC0" w14:textId="77FDA461" w:rsidR="00A817F3" w:rsidRDefault="00A817F3" w:rsidP="00E72433">
      <w:pPr>
        <w:pStyle w:val="Ttulo2"/>
        <w:rPr>
          <w:lang w:val="es-ES"/>
        </w:rPr>
      </w:pPr>
      <w:bookmarkStart w:id="9" w:name="_Toc484723298"/>
      <w:r>
        <w:rPr>
          <w:lang w:val="es-ES"/>
        </w:rPr>
        <w:t>Consulta y acceso a repositorios de datos</w:t>
      </w:r>
      <w:bookmarkEnd w:id="9"/>
    </w:p>
    <w:p w14:paraId="3CB19653" w14:textId="40CC466D" w:rsidR="00C80E76" w:rsidRPr="00812B08" w:rsidRDefault="00C80E76" w:rsidP="00812B08">
      <w:pPr>
        <w:jc w:val="both"/>
        <w:rPr>
          <w:color w:val="538135" w:themeColor="accent6" w:themeShade="BF"/>
          <w:lang w:val="es-ES"/>
        </w:rPr>
      </w:pPr>
      <w:r w:rsidRPr="00812B08">
        <w:rPr>
          <w:lang w:val="es-ES"/>
        </w:rPr>
        <w:t xml:space="preserve">Sitio web </w:t>
      </w:r>
      <w:r w:rsidR="00880043" w:rsidRPr="00812B08">
        <w:rPr>
          <w:lang w:val="es-ES"/>
        </w:rPr>
        <w:t xml:space="preserve">INECC (Instituto Nacional de Ecología y Cambio Climático) obtuvimos los datos acerca de consumo de gasolina y rendimiento litro por </w:t>
      </w:r>
      <w:r w:rsidR="009B72BF" w:rsidRPr="00812B08">
        <w:rPr>
          <w:lang w:val="es-ES"/>
        </w:rPr>
        <w:t>kilómetro</w:t>
      </w:r>
      <w:r w:rsidR="00880043" w:rsidRPr="00812B08">
        <w:rPr>
          <w:lang w:val="es-ES"/>
        </w:rPr>
        <w:t xml:space="preserve"> con base a los datos que proporciona el fabricante a la PROFECO </w:t>
      </w:r>
      <w:hyperlink r:id="rId13" w:history="1">
        <w:r w:rsidR="00880043" w:rsidRPr="00812B08">
          <w:rPr>
            <w:rStyle w:val="Hipervnculo"/>
            <w:lang w:val="es-ES"/>
          </w:rPr>
          <w:t>https://www.inecc.gob.mx/ecovehiculos/ecovehiculos/index.php</w:t>
        </w:r>
      </w:hyperlink>
    </w:p>
    <w:p w14:paraId="59F51A5A" w14:textId="54111A5F" w:rsidR="00880043" w:rsidRPr="00812B08" w:rsidRDefault="00880043" w:rsidP="00812B08">
      <w:pPr>
        <w:jc w:val="both"/>
        <w:rPr>
          <w:lang w:val="es-ES"/>
        </w:rPr>
      </w:pPr>
      <w:r w:rsidRPr="00812B08">
        <w:rPr>
          <w:lang w:val="es-ES"/>
        </w:rPr>
        <w:t>Debido a que la información que presenta el fabricante de vehículos en su sitio web es meramente comercial</w:t>
      </w:r>
      <w:r w:rsidR="00812B08">
        <w:rPr>
          <w:lang w:val="es-ES"/>
        </w:rPr>
        <w:t>,</w:t>
      </w:r>
      <w:r w:rsidRPr="00812B08">
        <w:rPr>
          <w:lang w:val="es-ES"/>
        </w:rPr>
        <w:t xml:space="preserve"> se tom</w:t>
      </w:r>
      <w:r w:rsidR="00812B08">
        <w:rPr>
          <w:lang w:val="es-ES"/>
        </w:rPr>
        <w:t>aron</w:t>
      </w:r>
      <w:r w:rsidRPr="00812B08">
        <w:rPr>
          <w:lang w:val="es-ES"/>
        </w:rPr>
        <w:t xml:space="preserve"> como referencia los datos obtenidos por</w:t>
      </w:r>
      <w:r w:rsidR="00812B08">
        <w:rPr>
          <w:lang w:val="es-ES"/>
        </w:rPr>
        <w:t xml:space="preserve"> la</w:t>
      </w:r>
      <w:r w:rsidRPr="00812B08">
        <w:rPr>
          <w:lang w:val="es-ES"/>
        </w:rPr>
        <w:t xml:space="preserve"> PROFECO y que </w:t>
      </w:r>
      <w:r w:rsidR="00812B08">
        <w:rPr>
          <w:lang w:val="es-ES"/>
        </w:rPr>
        <w:t>han sido</w:t>
      </w:r>
      <w:r w:rsidRPr="00812B08">
        <w:rPr>
          <w:lang w:val="es-ES"/>
        </w:rPr>
        <w:t xml:space="preserve"> publicados en el sitio de INECC</w:t>
      </w:r>
      <w:r w:rsidR="009B72BF" w:rsidRPr="00812B08">
        <w:rPr>
          <w:lang w:val="es-ES"/>
        </w:rPr>
        <w:t>.</w:t>
      </w:r>
    </w:p>
    <w:p w14:paraId="567D7FA6" w14:textId="1E605A60" w:rsidR="00D343F4" w:rsidRPr="00812B08" w:rsidRDefault="00D343F4" w:rsidP="00812B08">
      <w:pPr>
        <w:jc w:val="both"/>
        <w:rPr>
          <w:lang w:val="es-ES"/>
        </w:rPr>
      </w:pPr>
      <w:r w:rsidRPr="00812B08">
        <w:rPr>
          <w:lang w:val="es-ES"/>
        </w:rPr>
        <w:t>Para calcular el consumo de gasolina aproximado de un auto se requieren de tomar como blanco 200</w:t>
      </w:r>
      <w:r w:rsidR="00812B08">
        <w:rPr>
          <w:lang w:val="es-ES"/>
        </w:rPr>
        <w:t xml:space="preserve"> </w:t>
      </w:r>
      <w:r w:rsidRPr="00812B08">
        <w:rPr>
          <w:lang w:val="es-ES"/>
        </w:rPr>
        <w:t>km recorridos</w:t>
      </w:r>
      <w:r w:rsidR="00812B08">
        <w:rPr>
          <w:lang w:val="es-ES"/>
        </w:rPr>
        <w:t>,</w:t>
      </w:r>
      <w:r w:rsidRPr="00812B08">
        <w:rPr>
          <w:lang w:val="es-ES"/>
        </w:rPr>
        <w:t xml:space="preserve"> con esta información la f</w:t>
      </w:r>
      <w:r w:rsidR="00812B08">
        <w:rPr>
          <w:lang w:val="es-ES"/>
        </w:rPr>
        <w:t>ó</w:t>
      </w:r>
      <w:r w:rsidRPr="00812B08">
        <w:rPr>
          <w:lang w:val="es-ES"/>
        </w:rPr>
        <w:t xml:space="preserve">rmula puede proporcionar datos </w:t>
      </w:r>
      <w:r w:rsidR="009B72BF" w:rsidRPr="00812B08">
        <w:rPr>
          <w:lang w:val="es-ES"/>
        </w:rPr>
        <w:t>más</w:t>
      </w:r>
      <w:r w:rsidRPr="00812B08">
        <w:rPr>
          <w:lang w:val="es-ES"/>
        </w:rPr>
        <w:t xml:space="preserve"> fidedignos</w:t>
      </w:r>
      <w:r w:rsidR="009B72BF" w:rsidRPr="00812B08">
        <w:rPr>
          <w:lang w:val="es-ES"/>
        </w:rPr>
        <w:t>.</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21E86EC5" w14:textId="0E535AA1" w:rsidR="00D343F4" w:rsidRPr="00F95285" w:rsidRDefault="00D343F4" w:rsidP="00F95285">
      <w:pPr>
        <w:jc w:val="both"/>
        <w:rPr>
          <w:lang w:val="es-ES"/>
        </w:rPr>
      </w:pPr>
      <w:r w:rsidRPr="00F95285">
        <w:rPr>
          <w:lang w:val="es-ES"/>
        </w:rPr>
        <w:t>Se utiliz</w:t>
      </w:r>
      <w:r w:rsidR="00F95285" w:rsidRPr="00F95285">
        <w:rPr>
          <w:lang w:val="es-ES"/>
        </w:rPr>
        <w:t>ó</w:t>
      </w:r>
      <w:r w:rsidRPr="00F95285">
        <w:rPr>
          <w:lang w:val="es-ES"/>
        </w:rPr>
        <w:t xml:space="preserve"> un modelo NoSQL Orientado a grafos</w:t>
      </w:r>
      <w:r w:rsidR="00F95285" w:rsidRPr="00F95285">
        <w:rPr>
          <w:lang w:val="es-ES"/>
        </w:rPr>
        <w:t>.</w:t>
      </w:r>
      <w:r w:rsidRPr="00F95285">
        <w:rPr>
          <w:lang w:val="es-ES"/>
        </w:rPr>
        <w:t xml:space="preserve"> </w:t>
      </w:r>
      <w:r w:rsidR="00F95285" w:rsidRPr="00F95285">
        <w:rPr>
          <w:lang w:val="es-ES"/>
        </w:rPr>
        <w:t>S</w:t>
      </w:r>
      <w:r w:rsidRPr="00F95285">
        <w:rPr>
          <w:lang w:val="es-ES"/>
        </w:rPr>
        <w:t>e utilizo este modelo debido a que el acceso a la información es m</w:t>
      </w:r>
      <w:r w:rsidR="00F95285" w:rsidRPr="00F95285">
        <w:rPr>
          <w:lang w:val="es-ES"/>
        </w:rPr>
        <w:t>á</w:t>
      </w:r>
      <w:r w:rsidRPr="00F95285">
        <w:rPr>
          <w:lang w:val="es-ES"/>
        </w:rPr>
        <w:t>s rápido y consume meno</w:t>
      </w:r>
      <w:r w:rsidR="00F95285" w:rsidRPr="00F95285">
        <w:rPr>
          <w:lang w:val="es-ES"/>
        </w:rPr>
        <w:t>s</w:t>
      </w:r>
      <w:r w:rsidRPr="00F95285">
        <w:rPr>
          <w:lang w:val="es-ES"/>
        </w:rPr>
        <w:t xml:space="preserve"> espacio, así mismo nos permite generar una </w:t>
      </w:r>
      <w:r w:rsidR="00F95285" w:rsidRPr="00F95285">
        <w:rPr>
          <w:lang w:val="es-ES"/>
        </w:rPr>
        <w:t>“</w:t>
      </w:r>
      <w:r w:rsidRPr="00F95285">
        <w:rPr>
          <w:lang w:val="es-ES"/>
        </w:rPr>
        <w:t>unión</w:t>
      </w:r>
      <w:r w:rsidR="00F95285" w:rsidRPr="00F95285">
        <w:rPr>
          <w:lang w:val="es-ES"/>
        </w:rPr>
        <w:t>”</w:t>
      </w:r>
      <w:r w:rsidRPr="00F95285">
        <w:rPr>
          <w:lang w:val="es-ES"/>
        </w:rPr>
        <w:t xml:space="preserve"> con el usuario con lo cual podemos ligar todo hacia un</w:t>
      </w:r>
      <w:r w:rsidR="00F95285" w:rsidRPr="00F95285">
        <w:rPr>
          <w:lang w:val="es-ES"/>
        </w:rPr>
        <w:t xml:space="preserve"> mismo lugar;</w:t>
      </w:r>
      <w:r w:rsidRPr="00F95285">
        <w:rPr>
          <w:lang w:val="es-ES"/>
        </w:rPr>
        <w:t xml:space="preserve"> esto nos permite generar datos ligeros y conjuntarlos con su dueño</w:t>
      </w:r>
      <w:r w:rsidR="00F95285" w:rsidRPr="00F95285">
        <w:rPr>
          <w:lang w:val="es-ES"/>
        </w:rPr>
        <w:t>.</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lastRenderedPageBreak/>
        <w:t>Dependencias con otros elementos de software o hardware de terceros</w:t>
      </w:r>
      <w:bookmarkEnd w:id="14"/>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7BBDD" w14:textId="77777777" w:rsidR="00FA79A9" w:rsidRDefault="00FA79A9" w:rsidP="007C684D">
      <w:pPr>
        <w:spacing w:after="0" w:line="240" w:lineRule="auto"/>
      </w:pPr>
      <w:r>
        <w:separator/>
      </w:r>
    </w:p>
  </w:endnote>
  <w:endnote w:type="continuationSeparator" w:id="0">
    <w:p w14:paraId="718FE382" w14:textId="77777777" w:rsidR="00FA79A9" w:rsidRDefault="00FA79A9"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EF7F0" w14:textId="77777777" w:rsidR="00FA79A9" w:rsidRDefault="00FA79A9" w:rsidP="007C684D">
      <w:pPr>
        <w:spacing w:after="0" w:line="240" w:lineRule="auto"/>
      </w:pPr>
      <w:r>
        <w:separator/>
      </w:r>
    </w:p>
  </w:footnote>
  <w:footnote w:type="continuationSeparator" w:id="0">
    <w:p w14:paraId="513D8B6E" w14:textId="77777777" w:rsidR="00FA79A9" w:rsidRDefault="00FA79A9"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732CEC80"/>
    <w:lvl w:ilvl="0" w:tplc="794E41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90D77"/>
    <w:rsid w:val="000B2ED6"/>
    <w:rsid w:val="000B73E5"/>
    <w:rsid w:val="000D0AE4"/>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041D"/>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E36E1"/>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0AC1"/>
    <w:rsid w:val="006715D5"/>
    <w:rsid w:val="00684B06"/>
    <w:rsid w:val="00693168"/>
    <w:rsid w:val="0069448D"/>
    <w:rsid w:val="006A249C"/>
    <w:rsid w:val="006B2016"/>
    <w:rsid w:val="006C0B00"/>
    <w:rsid w:val="006C2B87"/>
    <w:rsid w:val="006D2A12"/>
    <w:rsid w:val="006D3F50"/>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08"/>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06F0"/>
    <w:rsid w:val="00902BE3"/>
    <w:rsid w:val="00920AA7"/>
    <w:rsid w:val="009227DB"/>
    <w:rsid w:val="00951FCC"/>
    <w:rsid w:val="009531A0"/>
    <w:rsid w:val="0096492E"/>
    <w:rsid w:val="009672F6"/>
    <w:rsid w:val="00975ECF"/>
    <w:rsid w:val="00980ECB"/>
    <w:rsid w:val="0098186B"/>
    <w:rsid w:val="00997E3A"/>
    <w:rsid w:val="009B72BF"/>
    <w:rsid w:val="009D4742"/>
    <w:rsid w:val="009F2BEE"/>
    <w:rsid w:val="00A01FF4"/>
    <w:rsid w:val="00A14741"/>
    <w:rsid w:val="00A22F26"/>
    <w:rsid w:val="00A24E7B"/>
    <w:rsid w:val="00A30A21"/>
    <w:rsid w:val="00A42DA4"/>
    <w:rsid w:val="00A4317D"/>
    <w:rsid w:val="00A47E1A"/>
    <w:rsid w:val="00A57A67"/>
    <w:rsid w:val="00A60331"/>
    <w:rsid w:val="00A75337"/>
    <w:rsid w:val="00A76DD1"/>
    <w:rsid w:val="00A817F3"/>
    <w:rsid w:val="00A923D8"/>
    <w:rsid w:val="00A92EF9"/>
    <w:rsid w:val="00AA10ED"/>
    <w:rsid w:val="00AB1AB4"/>
    <w:rsid w:val="00AB1B02"/>
    <w:rsid w:val="00AC30C8"/>
    <w:rsid w:val="00AD0AB7"/>
    <w:rsid w:val="00AD0C84"/>
    <w:rsid w:val="00AD6B90"/>
    <w:rsid w:val="00AE51EC"/>
    <w:rsid w:val="00B02A70"/>
    <w:rsid w:val="00B04F79"/>
    <w:rsid w:val="00B13518"/>
    <w:rsid w:val="00B33835"/>
    <w:rsid w:val="00B360BE"/>
    <w:rsid w:val="00B45939"/>
    <w:rsid w:val="00B4679A"/>
    <w:rsid w:val="00B55898"/>
    <w:rsid w:val="00B7570D"/>
    <w:rsid w:val="00B824C8"/>
    <w:rsid w:val="00BA6585"/>
    <w:rsid w:val="00BC6BF6"/>
    <w:rsid w:val="00BD798A"/>
    <w:rsid w:val="00BE497E"/>
    <w:rsid w:val="00BE758B"/>
    <w:rsid w:val="00BF452A"/>
    <w:rsid w:val="00BF6409"/>
    <w:rsid w:val="00C14C49"/>
    <w:rsid w:val="00C16C74"/>
    <w:rsid w:val="00C1705A"/>
    <w:rsid w:val="00C17A39"/>
    <w:rsid w:val="00C263CB"/>
    <w:rsid w:val="00C43050"/>
    <w:rsid w:val="00C53334"/>
    <w:rsid w:val="00C63DA4"/>
    <w:rsid w:val="00C66DB5"/>
    <w:rsid w:val="00C72140"/>
    <w:rsid w:val="00C80E76"/>
    <w:rsid w:val="00C965D6"/>
    <w:rsid w:val="00CA1E6A"/>
    <w:rsid w:val="00CB4E94"/>
    <w:rsid w:val="00CD09FB"/>
    <w:rsid w:val="00CD2723"/>
    <w:rsid w:val="00CF0207"/>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3FF7"/>
    <w:rsid w:val="00DE4763"/>
    <w:rsid w:val="00DF2E81"/>
    <w:rsid w:val="00E017DD"/>
    <w:rsid w:val="00E062C3"/>
    <w:rsid w:val="00E1033C"/>
    <w:rsid w:val="00E257EE"/>
    <w:rsid w:val="00E259FF"/>
    <w:rsid w:val="00E3192B"/>
    <w:rsid w:val="00E411AB"/>
    <w:rsid w:val="00E4378C"/>
    <w:rsid w:val="00E6121E"/>
    <w:rsid w:val="00E70694"/>
    <w:rsid w:val="00E72433"/>
    <w:rsid w:val="00E73302"/>
    <w:rsid w:val="00E9480E"/>
    <w:rsid w:val="00E95849"/>
    <w:rsid w:val="00EB4658"/>
    <w:rsid w:val="00EB4EF8"/>
    <w:rsid w:val="00EC52BC"/>
    <w:rsid w:val="00EE7C51"/>
    <w:rsid w:val="00F055E2"/>
    <w:rsid w:val="00F14999"/>
    <w:rsid w:val="00F37FA0"/>
    <w:rsid w:val="00F45209"/>
    <w:rsid w:val="00F452B4"/>
    <w:rsid w:val="00F53525"/>
    <w:rsid w:val="00F56C2C"/>
    <w:rsid w:val="00F86596"/>
    <w:rsid w:val="00F90618"/>
    <w:rsid w:val="00F95285"/>
    <w:rsid w:val="00FA79A9"/>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E700A-AF46-4F5A-ACC0-D7711F0A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18</Pages>
  <Words>3503</Words>
  <Characters>19271</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177</cp:revision>
  <cp:lastPrinted>2017-06-06T20:15:00Z</cp:lastPrinted>
  <dcterms:created xsi:type="dcterms:W3CDTF">2017-06-06T15:32:00Z</dcterms:created>
  <dcterms:modified xsi:type="dcterms:W3CDTF">2019-03-30T05:20:00Z</dcterms:modified>
</cp:coreProperties>
</file>