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11827"/>
          <w:sz w:val="32"/>
          <w:szCs w:val="32"/>
        </w:rPr>
        <w:t xml:space="preserve">STANDARD OPERATING PROCEDURE</w:t>
      </w:r>
    </w:p>
    <w:p>
      <w:pPr>
        <w:spacing w:after="120"/>
        <w:jc w:val="center"/>
      </w:pPr>
      <w:r>
        <w:rPr>
          <w:rFonts w:ascii="Arial" w:cs="Arial" w:eastAsia="Arial" w:hAnsi="Arial"/>
          <w:color w:val="374151"/>
          <w:sz w:val="28"/>
          <w:szCs w:val="28"/>
        </w:rPr>
        <w:t xml:space="preserve">Gabby Cole — High-Converting Triage Landing Page</w:t>
      </w:r>
    </w:p>
    <w:p>
      <w:pPr>
        <w:spacing w:after="360"/>
        <w:jc w:val="center"/>
      </w:pPr>
      <w:r>
        <w:rPr>
          <w:color w:val="6B7280"/>
          <w:sz w:val="20"/>
          <w:szCs w:val="20"/>
        </w:rPr>
        <w:t xml:space="preserve">Version 1.0 | August 2026</w:t>
      </w:r>
    </w:p>
    <w:p>
      <w:pPr>
        <w:pStyle w:val="Heading1"/>
      </w:pPr>
      <w:r>
        <w:t xml:space="preserve">1. Purpose &amp; Scope</w:t>
      </w:r>
    </w:p>
    <w:p>
      <w:r>
        <w:t xml:space="preserve">This SOP documents the build, structure, and ongoing maintenance of the Gabby Cole triage landing page. The page is the top-of-funnel touchpoint for Instagram DMs and other inbound interest. Its job is to let a mom of a 13- or 14-year-old club volleyball player conclude, as fast as possible, whether Gabby Cole is the right person to help her family.</w:t>
      </w:r>
    </w:p>
    <w:p>
      <w:r>
        <w:t xml:space="preserve">This document covers:</w:t>
      </w:r>
    </w:p>
    <w:p>
      <w:pPr>
        <w:pStyle w:val="ListParagraph"/>
        <w:numPr>
          <w:ilvl w:val="0"/>
          <w:numId w:val="2"/>
        </w:numPr>
      </w:pPr>
      <w:r>
        <w:t xml:space="preserve">The technical stack and file organization</w:t>
      </w:r>
    </w:p>
    <w:p>
      <w:pPr>
        <w:pStyle w:val="ListParagraph"/>
        <w:numPr>
          <w:ilvl w:val="0"/>
          <w:numId w:val="2"/>
        </w:numPr>
      </w:pPr>
      <w:r>
        <w:t xml:space="preserve">How to edit copy, pricing, and booking links</w:t>
      </w:r>
    </w:p>
    <w:p>
      <w:pPr>
        <w:pStyle w:val="ListParagraph"/>
        <w:numPr>
          <w:ilvl w:val="0"/>
          <w:numId w:val="2"/>
        </w:numPr>
      </w:pPr>
      <w:r>
        <w:t xml:space="preserve">The VSL script principles and constraints</w:t>
      </w:r>
    </w:p>
    <w:p>
      <w:pPr>
        <w:pStyle w:val="ListParagraph"/>
        <w:numPr>
          <w:ilvl w:val="0"/>
          <w:numId w:val="2"/>
        </w:numPr>
      </w:pPr>
      <w:r>
        <w:t xml:space="preserve">Build, preview, and publishing steps</w:t>
      </w:r>
    </w:p>
    <w:p>
      <w:pPr>
        <w:pStyle w:val="ListParagraph"/>
        <w:numPr>
          <w:ilvl w:val="0"/>
          <w:numId w:val="2"/>
        </w:numPr>
      </w:pPr>
      <w:r>
        <w:t xml:space="preserve">Quality checks before any change goes live</w:t>
      </w:r>
    </w:p>
    <w:p>
      <w:pPr>
        <w:pStyle w:val="Heading1"/>
      </w:pPr>
      <w: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3F4F6" w:val="clear"/>
          </w:tcPr>
          <w:p>
            <w:r>
              <w:t xml:space="preserve">Framework</w:t>
            </w:r>
          </w:p>
        </w:tc>
        <w:tc>
          <w:tcPr>
            <w:tcW w:type="dxa" w:w="6560"/>
            <w:tcBorders>
              <w:top w:val="single" w:color="CCCCCC" w:sz="1"/>
              <w:left w:val="single" w:color="CCCCCC" w:sz="1"/>
              <w:bottom w:val="single" w:color="CCCCCC" w:sz="1"/>
              <w:right w:val="single" w:color="CCCCCC" w:sz="1"/>
            </w:tcBorders>
          </w:tcPr>
          <w:p>
            <w:r>
              <w:t xml:space="preserve">TanStack Start v1 (React 19, Vite 7, file-based routing)</w:t>
            </w:r>
          </w:p>
        </w:tc>
      </w:tr>
      <w:tr>
        <w:tc>
          <w:tcPr>
            <w:tcW w:type="dxa" w:w="2800"/>
            <w:tcBorders>
              <w:top w:val="single" w:color="CCCCCC" w:sz="1"/>
              <w:left w:val="single" w:color="CCCCCC" w:sz="1"/>
              <w:bottom w:val="single" w:color="CCCCCC" w:sz="1"/>
              <w:right w:val="single" w:color="CCCCCC" w:sz="1"/>
            </w:tcBorders>
            <w:shd w:fill="F3F4F6" w:val="clear"/>
          </w:tcPr>
          <w:p>
            <w:r>
              <w:t xml:space="preserve">Styling</w:t>
            </w:r>
          </w:p>
        </w:tc>
        <w:tc>
          <w:tcPr>
            <w:tcW w:type="dxa" w:w="6560"/>
            <w:tcBorders>
              <w:top w:val="single" w:color="CCCCCC" w:sz="1"/>
              <w:left w:val="single" w:color="CCCCCC" w:sz="1"/>
              <w:bottom w:val="single" w:color="CCCCCC" w:sz="1"/>
              <w:right w:val="single" w:color="CCCCCC" w:sz="1"/>
            </w:tcBorders>
          </w:tcPr>
          <w:p>
            <w:r>
              <w:t xml:space="preserve">Tailwind CSS v4 via src/styles.css with semantic design tokens</w:t>
            </w:r>
          </w:p>
        </w:tc>
      </w:tr>
      <w:tr>
        <w:tc>
          <w:tcPr>
            <w:tcW w:type="dxa" w:w="2800"/>
            <w:tcBorders>
              <w:top w:val="single" w:color="CCCCCC" w:sz="1"/>
              <w:left w:val="single" w:color="CCCCCC" w:sz="1"/>
              <w:bottom w:val="single" w:color="CCCCCC" w:sz="1"/>
              <w:right w:val="single" w:color="CCCCCC" w:sz="1"/>
            </w:tcBorders>
            <w:shd w:fill="F3F4F6" w:val="clear"/>
          </w:tcPr>
          <w:p>
            <w:r>
              <w:t xml:space="preserve">Hosting</w:t>
            </w:r>
          </w:p>
        </w:tc>
        <w:tc>
          <w:tcPr>
            <w:tcW w:type="dxa" w:w="6560"/>
            <w:tcBorders>
              <w:top w:val="single" w:color="CCCCCC" w:sz="1"/>
              <w:left w:val="single" w:color="CCCCCC" w:sz="1"/>
              <w:bottom w:val="single" w:color="CCCCCC" w:sz="1"/>
              <w:right w:val="single" w:color="CCCCCC" w:sz="1"/>
            </w:tcBorders>
          </w:tcPr>
          <w:p>
            <w:r>
              <w:t xml:space="preserve">Lovable Cloud / Edge deployment (Cloudflare Workers compatible)</w:t>
            </w:r>
          </w:p>
        </w:tc>
      </w:tr>
      <w:tr>
        <w:tc>
          <w:tcPr>
            <w:tcW w:type="dxa" w:w="2800"/>
            <w:tcBorders>
              <w:top w:val="single" w:color="CCCCCC" w:sz="1"/>
              <w:left w:val="single" w:color="CCCCCC" w:sz="1"/>
              <w:bottom w:val="single" w:color="CCCCCC" w:sz="1"/>
              <w:right w:val="single" w:color="CCCCCC" w:sz="1"/>
            </w:tcBorders>
            <w:shd w:fill="F3F4F6" w:val="clear"/>
          </w:tcPr>
          <w:p>
            <w:r>
              <w:t xml:space="preserve">Payments / Booking</w:t>
            </w:r>
          </w:p>
        </w:tc>
        <w:tc>
          <w:tcPr>
            <w:tcW w:type="dxa" w:w="6560"/>
            <w:tcBorders>
              <w:top w:val="single" w:color="CCCCCC" w:sz="1"/>
              <w:left w:val="single" w:color="CCCCCC" w:sz="1"/>
              <w:bottom w:val="single" w:color="CCCCCC" w:sz="1"/>
              <w:right w:val="single" w:color="CCCCCC" w:sz="1"/>
            </w:tcBorders>
          </w:tcPr>
          <w:p>
            <w:r>
              <w:t xml:space="preserve">Stripe checkout links or scheduler URLs wired into src/components/landing/offer.ts</w:t>
            </w:r>
          </w:p>
        </w:tc>
      </w:tr>
      <w:tr>
        <w:tc>
          <w:tcPr>
            <w:tcW w:type="dxa" w:w="2800"/>
            <w:tcBorders>
              <w:top w:val="single" w:color="CCCCCC" w:sz="1"/>
              <w:left w:val="single" w:color="CCCCCC" w:sz="1"/>
              <w:bottom w:val="single" w:color="CCCCCC" w:sz="1"/>
              <w:right w:val="single" w:color="CCCCCC" w:sz="1"/>
            </w:tcBorders>
            <w:shd w:fill="F3F4F6" w:val="clear"/>
          </w:tcPr>
          <w:p>
            <w:r>
              <w:t xml:space="preserve">Video</w:t>
            </w:r>
          </w:p>
        </w:tc>
        <w:tc>
          <w:tcPr>
            <w:tcW w:type="dxa" w:w="6560"/>
            <w:tcBorders>
              <w:top w:val="single" w:color="CCCCCC" w:sz="1"/>
              <w:left w:val="single" w:color="CCCCCC" w:sz="1"/>
              <w:bottom w:val="single" w:color="CCCCCC" w:sz="1"/>
              <w:right w:val="single" w:color="CCCCCC" w:sz="1"/>
            </w:tcBorders>
          </w:tcPr>
          <w:p>
            <w:r>
              <w:t xml:space="preserve">VSL embedded above the fold; script stored in docs/vsl-script.md</w:t>
            </w:r>
          </w:p>
        </w:tc>
      </w:tr>
    </w:tbl>
    <w:p>
      <w:pPr>
        <w:pStyle w:val="Heading1"/>
      </w:pPr>
      <w:r>
        <w:t xml:space="preserve">3. File Structure</w:t>
      </w:r>
    </w:p>
    <w:p>
      <w:r>
        <w:t xml:space="preserve">All source files live under /dev-server. Key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3F4F6" w:val="clear"/>
          </w:tcPr>
          <w:p>
            <w:r>
              <w:t xml:space="preserve">docs/vsl-script.md</w:t>
            </w:r>
          </w:p>
        </w:tc>
        <w:tc>
          <w:tcPr>
            <w:tcW w:type="dxa" w:w="5760"/>
            <w:tcBorders>
              <w:top w:val="single" w:color="CCCCCC" w:sz="1"/>
              <w:left w:val="single" w:color="CCCCCC" w:sz="1"/>
              <w:bottom w:val="single" w:color="CCCCCC" w:sz="1"/>
              <w:right w:val="single" w:color="CCCCCC" w:sz="1"/>
            </w:tcBorders>
          </w:tcPr>
          <w:p>
            <w:r>
              <w:t xml:space="preserve">Final VSL script. No prices stated anywhere in the video.</w:t>
            </w:r>
          </w:p>
        </w:tc>
      </w:tr>
      <w:tr>
        <w:tc>
          <w:tcPr>
            <w:tcW w:type="dxa" w:w="3600"/>
            <w:tcBorders>
              <w:top w:val="single" w:color="CCCCCC" w:sz="1"/>
              <w:left w:val="single" w:color="CCCCCC" w:sz="1"/>
              <w:bottom w:val="single" w:color="CCCCCC" w:sz="1"/>
              <w:right w:val="single" w:color="CCCCCC" w:sz="1"/>
            </w:tcBorders>
            <w:shd w:fill="F3F4F6" w:val="clear"/>
          </w:tcPr>
          <w:p>
            <w:r>
              <w:t xml:space="preserve">src/routes/index.tsx</w:t>
            </w:r>
          </w:p>
        </w:tc>
        <w:tc>
          <w:tcPr>
            <w:tcW w:type="dxa" w:w="5760"/>
            <w:tcBorders>
              <w:top w:val="single" w:color="CCCCCC" w:sz="1"/>
              <w:left w:val="single" w:color="CCCCCC" w:sz="1"/>
              <w:bottom w:val="single" w:color="CCCCCC" w:sz="1"/>
              <w:right w:val="single" w:color="CCCCCC" w:sz="1"/>
            </w:tcBorders>
          </w:tcPr>
          <w:p>
            <w:r>
              <w:t xml:space="preserve">Home route. Imports landing sections in order.</w:t>
            </w:r>
          </w:p>
        </w:tc>
      </w:tr>
      <w:tr>
        <w:tc>
          <w:tcPr>
            <w:tcW w:type="dxa" w:w="3600"/>
            <w:tcBorders>
              <w:top w:val="single" w:color="CCCCCC" w:sz="1"/>
              <w:left w:val="single" w:color="CCCCCC" w:sz="1"/>
              <w:bottom w:val="single" w:color="CCCCCC" w:sz="1"/>
              <w:right w:val="single" w:color="CCCCCC" w:sz="1"/>
            </w:tcBorders>
            <w:shd w:fill="F3F4F6" w:val="clear"/>
          </w:tcPr>
          <w:p>
            <w:r>
              <w:t xml:space="preserve">src/routes/__root.tsx</w:t>
            </w:r>
          </w:p>
        </w:tc>
        <w:tc>
          <w:tcPr>
            <w:tcW w:type="dxa" w:w="5760"/>
            <w:tcBorders>
              <w:top w:val="single" w:color="CCCCCC" w:sz="1"/>
              <w:left w:val="single" w:color="CCCCCC" w:sz="1"/>
              <w:bottom w:val="single" w:color="CCCCCC" w:sz="1"/>
              <w:right w:val="single" w:color="CCCCCC" w:sz="1"/>
            </w:tcBorders>
          </w:tcPr>
          <w:p>
            <w:r>
              <w:t xml:space="preserve">Root layout. Head metadata, fonts, and global wrappers.</w:t>
            </w:r>
          </w:p>
        </w:tc>
      </w:tr>
      <w:tr>
        <w:tc>
          <w:tcPr>
            <w:tcW w:type="dxa" w:w="3600"/>
            <w:tcBorders>
              <w:top w:val="single" w:color="CCCCCC" w:sz="1"/>
              <w:left w:val="single" w:color="CCCCCC" w:sz="1"/>
              <w:bottom w:val="single" w:color="CCCCCC" w:sz="1"/>
              <w:right w:val="single" w:color="CCCCCC" w:sz="1"/>
            </w:tcBorders>
            <w:shd w:fill="F3F4F6" w:val="clear"/>
          </w:tcPr>
          <w:p>
            <w:r>
              <w:t xml:space="preserve">src/components/landing/offer.ts</w:t>
            </w:r>
          </w:p>
        </w:tc>
        <w:tc>
          <w:tcPr>
            <w:tcW w:type="dxa" w:w="5760"/>
            <w:tcBorders>
              <w:top w:val="single" w:color="CCCCCC" w:sz="1"/>
              <w:left w:val="single" w:color="CCCCCC" w:sz="1"/>
              <w:bottom w:val="single" w:color="CCCCCC" w:sz="1"/>
              <w:right w:val="single" w:color="CCCCCC" w:sz="1"/>
            </w:tcBorders>
          </w:tcPr>
          <w:p>
            <w:r>
              <w:t xml:space="preserve">Single source of truth for tier names, prices, copy, and CTAs.</w:t>
            </w:r>
          </w:p>
        </w:tc>
      </w:tr>
      <w:tr>
        <w:tc>
          <w:tcPr>
            <w:tcW w:type="dxa" w:w="3600"/>
            <w:tcBorders>
              <w:top w:val="single" w:color="CCCCCC" w:sz="1"/>
              <w:left w:val="single" w:color="CCCCCC" w:sz="1"/>
              <w:bottom w:val="single" w:color="CCCCCC" w:sz="1"/>
              <w:right w:val="single" w:color="CCCCCC" w:sz="1"/>
            </w:tcBorders>
            <w:shd w:fill="F3F4F6" w:val="clear"/>
          </w:tcPr>
          <w:p>
            <w:r>
              <w:t xml:space="preserve">src/components/landing/Hero.tsx</w:t>
            </w:r>
          </w:p>
        </w:tc>
        <w:tc>
          <w:tcPr>
            <w:tcW w:type="dxa" w:w="5760"/>
            <w:tcBorders>
              <w:top w:val="single" w:color="CCCCCC" w:sz="1"/>
              <w:left w:val="single" w:color="CCCCCC" w:sz="1"/>
              <w:bottom w:val="single" w:color="CCCCCC" w:sz="1"/>
              <w:right w:val="single" w:color="CCCCCC" w:sz="1"/>
            </w:tcBorders>
          </w:tcPr>
          <w:p>
            <w:r>
              <w:t xml:space="preserve">Above-the-fold headline, subhead, and video placement.</w:t>
            </w:r>
          </w:p>
        </w:tc>
      </w:tr>
      <w:tr>
        <w:tc>
          <w:tcPr>
            <w:tcW w:type="dxa" w:w="3600"/>
            <w:tcBorders>
              <w:top w:val="single" w:color="CCCCCC" w:sz="1"/>
              <w:left w:val="single" w:color="CCCCCC" w:sz="1"/>
              <w:bottom w:val="single" w:color="CCCCCC" w:sz="1"/>
              <w:right w:val="single" w:color="CCCCCC" w:sz="1"/>
            </w:tcBorders>
            <w:shd w:fill="F3F4F6" w:val="clear"/>
          </w:tcPr>
          <w:p>
            <w:r>
              <w:t xml:space="preserve">src/components/landing/Tiers.tsx</w:t>
            </w:r>
          </w:p>
        </w:tc>
        <w:tc>
          <w:tcPr>
            <w:tcW w:type="dxa" w:w="5760"/>
            <w:tcBorders>
              <w:top w:val="single" w:color="CCCCCC" w:sz="1"/>
              <w:left w:val="single" w:color="CCCCCC" w:sz="1"/>
              <w:bottom w:val="single" w:color="CCCCCC" w:sz="1"/>
              <w:right w:val="single" w:color="CCCCCC" w:sz="1"/>
            </w:tcBorders>
          </w:tcPr>
          <w:p>
            <w:r>
              <w:t xml:space="preserve">Three-tier pricing cards. Pulls data from offer.ts.</w:t>
            </w:r>
          </w:p>
        </w:tc>
      </w:tr>
      <w:tr>
        <w:tc>
          <w:tcPr>
            <w:tcW w:type="dxa" w:w="3600"/>
            <w:tcBorders>
              <w:top w:val="single" w:color="CCCCCC" w:sz="1"/>
              <w:left w:val="single" w:color="CCCCCC" w:sz="1"/>
              <w:bottom w:val="single" w:color="CCCCCC" w:sz="1"/>
              <w:right w:val="single" w:color="CCCCCC" w:sz="1"/>
            </w:tcBorders>
            <w:shd w:fill="F3F4F6" w:val="clear"/>
          </w:tcPr>
          <w:p>
            <w:r>
              <w:t xml:space="preserve">src/components/landing/ProofBand.tsx</w:t>
            </w:r>
          </w:p>
        </w:tc>
        <w:tc>
          <w:tcPr>
            <w:tcW w:type="dxa" w:w="5760"/>
            <w:tcBorders>
              <w:top w:val="single" w:color="CCCCCC" w:sz="1"/>
              <w:left w:val="single" w:color="CCCCCC" w:sz="1"/>
              <w:bottom w:val="single" w:color="CCCCCC" w:sz="1"/>
              <w:right w:val="single" w:color="CCCCCC" w:sz="1"/>
            </w:tcBorders>
          </w:tcPr>
          <w:p>
            <w:r>
              <w:t xml:space="preserve">Credibility band (logos, stats, or trust markers).</w:t>
            </w:r>
          </w:p>
        </w:tc>
      </w:tr>
      <w:tr>
        <w:tc>
          <w:tcPr>
            <w:tcW w:type="dxa" w:w="3600"/>
            <w:tcBorders>
              <w:top w:val="single" w:color="CCCCCC" w:sz="1"/>
              <w:left w:val="single" w:color="CCCCCC" w:sz="1"/>
              <w:bottom w:val="single" w:color="CCCCCC" w:sz="1"/>
              <w:right w:val="single" w:color="CCCCCC" w:sz="1"/>
            </w:tcBorders>
            <w:shd w:fill="F3F4F6" w:val="clear"/>
          </w:tcPr>
          <w:p>
            <w:r>
              <w:t xml:space="preserve">src/components/landing/Testimonials.tsx</w:t>
            </w:r>
          </w:p>
        </w:tc>
        <w:tc>
          <w:tcPr>
            <w:tcW w:type="dxa" w:w="5760"/>
            <w:tcBorders>
              <w:top w:val="single" w:color="CCCCCC" w:sz="1"/>
              <w:left w:val="single" w:color="CCCCCC" w:sz="1"/>
              <w:bottom w:val="single" w:color="CCCCCC" w:sz="1"/>
              <w:right w:val="single" w:color="CCCCCC" w:sz="1"/>
            </w:tcBorders>
          </w:tcPr>
          <w:p>
            <w:r>
              <w:t xml:space="preserve">Real parent/athlete quotes in original voice.</w:t>
            </w:r>
          </w:p>
        </w:tc>
      </w:tr>
      <w:tr>
        <w:tc>
          <w:tcPr>
            <w:tcW w:type="dxa" w:w="3600"/>
            <w:tcBorders>
              <w:top w:val="single" w:color="CCCCCC" w:sz="1"/>
              <w:left w:val="single" w:color="CCCCCC" w:sz="1"/>
              <w:bottom w:val="single" w:color="CCCCCC" w:sz="1"/>
              <w:right w:val="single" w:color="CCCCCC" w:sz="1"/>
            </w:tcBorders>
            <w:shd w:fill="F3F4F6" w:val="clear"/>
          </w:tcPr>
          <w:p>
            <w:r>
              <w:t xml:space="preserve">src/components/landing/Objections.tsx</w:t>
            </w:r>
          </w:p>
        </w:tc>
        <w:tc>
          <w:tcPr>
            <w:tcW w:type="dxa" w:w="5760"/>
            <w:tcBorders>
              <w:top w:val="single" w:color="CCCCCC" w:sz="1"/>
              <w:left w:val="single" w:color="CCCCCC" w:sz="1"/>
              <w:bottom w:val="single" w:color="CCCCCC" w:sz="1"/>
              <w:right w:val="single" w:color="CCCCCC" w:sz="1"/>
            </w:tcBorders>
          </w:tcPr>
          <w:p>
            <w:r>
              <w:t xml:space="preserve">False-solutions and objection handling section.</w:t>
            </w:r>
          </w:p>
        </w:tc>
      </w:tr>
      <w:tr>
        <w:tc>
          <w:tcPr>
            <w:tcW w:type="dxa" w:w="3600"/>
            <w:tcBorders>
              <w:top w:val="single" w:color="CCCCCC" w:sz="1"/>
              <w:left w:val="single" w:color="CCCCCC" w:sz="1"/>
              <w:bottom w:val="single" w:color="CCCCCC" w:sz="1"/>
              <w:right w:val="single" w:color="CCCCCC" w:sz="1"/>
            </w:tcBorders>
            <w:shd w:fill="F3F4F6" w:val="clear"/>
          </w:tcPr>
          <w:p>
            <w:r>
              <w:t xml:space="preserve">src/components/landing/AboutGabby.tsx</w:t>
            </w:r>
          </w:p>
        </w:tc>
        <w:tc>
          <w:tcPr>
            <w:tcW w:type="dxa" w:w="5760"/>
            <w:tcBorders>
              <w:top w:val="single" w:color="CCCCCC" w:sz="1"/>
              <w:left w:val="single" w:color="CCCCCC" w:sz="1"/>
              <w:bottom w:val="single" w:color="CCCCCC" w:sz="1"/>
              <w:right w:val="single" w:color="CCCCCC" w:sz="1"/>
            </w:tcBorders>
          </w:tcPr>
          <w:p>
            <w:r>
              <w:t xml:space="preserve">Mechanism and origin story.</w:t>
            </w:r>
          </w:p>
        </w:tc>
      </w:tr>
      <w:tr>
        <w:tc>
          <w:tcPr>
            <w:tcW w:type="dxa" w:w="3600"/>
            <w:tcBorders>
              <w:top w:val="single" w:color="CCCCCC" w:sz="1"/>
              <w:left w:val="single" w:color="CCCCCC" w:sz="1"/>
              <w:bottom w:val="single" w:color="CCCCCC" w:sz="1"/>
              <w:right w:val="single" w:color="CCCCCC" w:sz="1"/>
            </w:tcBorders>
            <w:shd w:fill="F3F4F6" w:val="clear"/>
          </w:tcPr>
          <w:p>
            <w:r>
              <w:t xml:space="preserve">src/components/landing/FinalCta.tsx</w:t>
            </w:r>
          </w:p>
        </w:tc>
        <w:tc>
          <w:tcPr>
            <w:tcW w:type="dxa" w:w="5760"/>
            <w:tcBorders>
              <w:top w:val="single" w:color="CCCCCC" w:sz="1"/>
              <w:left w:val="single" w:color="CCCCCC" w:sz="1"/>
              <w:bottom w:val="single" w:color="CCCCCC" w:sz="1"/>
              <w:right w:val="single" w:color="CCCCCC" w:sz="1"/>
            </w:tcBorders>
          </w:tcPr>
          <w:p>
            <w:r>
              <w:t xml:space="preserve">Bottom call-to-action block.</w:t>
            </w:r>
          </w:p>
        </w:tc>
      </w:tr>
      <w:tr>
        <w:tc>
          <w:tcPr>
            <w:tcW w:type="dxa" w:w="3600"/>
            <w:tcBorders>
              <w:top w:val="single" w:color="CCCCCC" w:sz="1"/>
              <w:left w:val="single" w:color="CCCCCC" w:sz="1"/>
              <w:bottom w:val="single" w:color="CCCCCC" w:sz="1"/>
              <w:right w:val="single" w:color="CCCCCC" w:sz="1"/>
            </w:tcBorders>
            <w:shd w:fill="F3F4F6" w:val="clear"/>
          </w:tcPr>
          <w:p>
            <w:r>
              <w:t xml:space="preserve">src/styles.css</w:t>
            </w:r>
          </w:p>
        </w:tc>
        <w:tc>
          <w:tcPr>
            <w:tcW w:type="dxa" w:w="5760"/>
            <w:tcBorders>
              <w:top w:val="single" w:color="CCCCCC" w:sz="1"/>
              <w:left w:val="single" w:color="CCCCCC" w:sz="1"/>
              <w:bottom w:val="single" w:color="CCCCCC" w:sz="1"/>
              <w:right w:val="single" w:color="CCCCCC" w:sz="1"/>
            </w:tcBorders>
          </w:tcPr>
          <w:p>
            <w:r>
              <w:t xml:space="preserve">Design tokens, Tailwind theme, and global CSS.</w:t>
            </w:r>
          </w:p>
        </w:tc>
      </w:tr>
    </w:tbl>
    <w:p>
      <w:pPr>
        <w:pStyle w:val="Heading1"/>
      </w:pPr>
      <w:r>
        <w:t xml:space="preserve">4. Page Architecture</w:t>
      </w:r>
    </w:p>
    <w:p>
      <w:r>
        <w:t xml:space="preserve">The page is built as a single long-form landing page with these sections in order:</w:t>
      </w:r>
    </w:p>
    <w:p>
      <w:pPr>
        <w:pStyle w:val="ListParagraph"/>
        <w:numPr>
          <w:ilvl w:val="0"/>
          <w:numId w:val="3"/>
        </w:numPr>
      </w:pPr>
      <w:r>
        <w:t xml:space="preserve">Hero — headline, subhead, VSL embed</w:t>
      </w:r>
    </w:p>
    <w:p>
      <w:pPr>
        <w:pStyle w:val="ListParagraph"/>
        <w:numPr>
          <w:ilvl w:val="0"/>
          <w:numId w:val="3"/>
        </w:numPr>
      </w:pPr>
      <w:r>
        <w:t xml:space="preserve">Proof Band — fast credibility markers</w:t>
      </w:r>
    </w:p>
    <w:p>
      <w:pPr>
        <w:pStyle w:val="ListParagraph"/>
        <w:numPr>
          <w:ilvl w:val="0"/>
          <w:numId w:val="3"/>
        </w:numPr>
      </w:pPr>
      <w:r>
        <w:t xml:space="preserve">Problem Agitation / Identity — you are not confused about volleyball</w:t>
      </w:r>
    </w:p>
    <w:p>
      <w:pPr>
        <w:pStyle w:val="ListParagraph"/>
        <w:numPr>
          <w:ilvl w:val="0"/>
          <w:numId w:val="3"/>
        </w:numPr>
      </w:pPr>
      <w:r>
        <w:t xml:space="preserve">False Solutions — why lessons, camps, and therapy did not fix it</w:t>
      </w:r>
    </w:p>
    <w:p>
      <w:pPr>
        <w:pStyle w:val="ListParagraph"/>
        <w:numPr>
          <w:ilvl w:val="0"/>
          <w:numId w:val="3"/>
        </w:numPr>
      </w:pPr>
      <w:r>
        <w:t xml:space="preserve">The Mechanism — Gabby's origin story and the actual gap</w:t>
      </w:r>
    </w:p>
    <w:p>
      <w:pPr>
        <w:pStyle w:val="ListParagraph"/>
        <w:numPr>
          <w:ilvl w:val="0"/>
          <w:numId w:val="3"/>
        </w:numPr>
      </w:pPr>
      <w:r>
        <w:t xml:space="preserve">Testimonials — real quotes from Brielle, Stacey, Lauren, Troy</w:t>
      </w:r>
    </w:p>
    <w:p>
      <w:pPr>
        <w:pStyle w:val="ListParagraph"/>
        <w:numPr>
          <w:ilvl w:val="0"/>
          <w:numId w:val="3"/>
        </w:numPr>
      </w:pPr>
      <w:r>
        <w:t xml:space="preserve">Tiers — Ask Gabby / Strategy Session / Ecosystem Planning Session</w:t>
      </w:r>
    </w:p>
    <w:p>
      <w:pPr>
        <w:pStyle w:val="ListParagraph"/>
        <w:numPr>
          <w:ilvl w:val="0"/>
          <w:numId w:val="3"/>
        </w:numPr>
      </w:pPr>
      <w:r>
        <w:t xml:space="preserve">Final CTA — scroll-back-up prompt</w:t>
      </w:r>
    </w:p>
    <w:p>
      <w:r>
        <w:t xml:space="preserve">Each section is a self-contained React component. The home route composes them in order. Do not add extra navigation, sidebars, or multi-page flows for this funnel.</w:t>
      </w:r>
    </w:p>
    <w:p>
      <w:pPr>
        <w:pStyle w:val="Heading1"/>
      </w:pPr>
      <w:r>
        <w:t xml:space="preserve">5. Editing the Offer</w:t>
      </w:r>
    </w:p>
    <w:p>
      <w:r>
        <w:t xml:space="preserve">All offer details live in src/components/landing/offer.ts. This is the only file a non-technical editor should need to change for pricing or copy updates.</w:t>
      </w:r>
    </w:p>
    <w:p>
      <w:pPr>
        <w:pStyle w:val="Heading2"/>
      </w:pPr>
      <w:r>
        <w:t xml:space="preserve">5.1 Required real values</w:t>
      </w:r>
    </w:p>
    <w:p>
      <w:r>
        <w:t xml:space="preserve">The following placeholders must be replaced with production values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F3F4F6" w:val="clear"/>
          </w:tcPr>
          <w:p>
            <w:r>
              <w:t xml:space="preserve">Tier prices</w:t>
            </w:r>
          </w:p>
        </w:tc>
        <w:tc>
          <w:tcPr>
            <w:tcW w:type="dxa" w:w="3200"/>
            <w:tcBorders>
              <w:top w:val="single" w:color="CCCCCC" w:sz="1"/>
              <w:left w:val="single" w:color="CCCCCC" w:sz="1"/>
              <w:bottom w:val="single" w:color="CCCCCC" w:sz="1"/>
              <w:right w:val="single" w:color="CCCCCC" w:sz="1"/>
            </w:tcBorders>
          </w:tcPr>
          <w:p>
            <w:r>
              <w:t xml:space="preserve">$97 / $350 / $1,500</w:t>
            </w:r>
          </w:p>
        </w:tc>
        <w:tc>
          <w:tcPr>
            <w:tcW w:type="dxa" w:w="3760"/>
            <w:tcBorders>
              <w:top w:val="single" w:color="CCCCCC" w:sz="1"/>
              <w:left w:val="single" w:color="CCCCCC" w:sz="1"/>
              <w:bottom w:val="single" w:color="CCCCCC" w:sz="1"/>
              <w:right w:val="single" w:color="CCCCCC" w:sz="1"/>
            </w:tcBorders>
          </w:tcPr>
          <w:p>
            <w:r>
              <w:t xml:space="preserve">Confirm final pricing before launch.</w:t>
            </w:r>
          </w:p>
        </w:tc>
      </w:tr>
      <w:tr>
        <w:tc>
          <w:tcPr>
            <w:tcW w:type="dxa" w:w="2400"/>
            <w:tcBorders>
              <w:top w:val="single" w:color="CCCCCC" w:sz="1"/>
              <w:left w:val="single" w:color="CCCCCC" w:sz="1"/>
              <w:bottom w:val="single" w:color="CCCCCC" w:sz="1"/>
              <w:right w:val="single" w:color="CCCCCC" w:sz="1"/>
            </w:tcBorders>
            <w:shd w:fill="F3F4F6" w:val="clear"/>
          </w:tcPr>
          <w:p>
            <w:r>
              <w:t xml:space="preserve">Checkout links</w:t>
            </w:r>
          </w:p>
        </w:tc>
        <w:tc>
          <w:tcPr>
            <w:tcW w:type="dxa" w:w="3200"/>
            <w:tcBorders>
              <w:top w:val="single" w:color="CCCCCC" w:sz="1"/>
              <w:left w:val="single" w:color="CCCCCC" w:sz="1"/>
              <w:bottom w:val="single" w:color="CCCCCC" w:sz="1"/>
              <w:right w:val="single" w:color="CCCCCC" w:sz="1"/>
            </w:tcBorders>
          </w:tcPr>
          <w:p>
            <w:r>
              <w:t xml:space="preserve">href: "#"</w:t>
            </w:r>
          </w:p>
        </w:tc>
        <w:tc>
          <w:tcPr>
            <w:tcW w:type="dxa" w:w="3760"/>
            <w:tcBorders>
              <w:top w:val="single" w:color="CCCCCC" w:sz="1"/>
              <w:left w:val="single" w:color="CCCCCC" w:sz="1"/>
              <w:bottom w:val="single" w:color="CCCCCC" w:sz="1"/>
              <w:right w:val="single" w:color="CCCCCC" w:sz="1"/>
            </w:tcBorders>
          </w:tcPr>
          <w:p>
            <w:r>
              <w:t xml:space="preserve">Replace with Stripe payment / scheduler URLs for each tier.</w:t>
            </w:r>
          </w:p>
        </w:tc>
      </w:tr>
      <w:tr>
        <w:tc>
          <w:tcPr>
            <w:tcW w:type="dxa" w:w="2400"/>
            <w:tcBorders>
              <w:top w:val="single" w:color="CCCCCC" w:sz="1"/>
              <w:left w:val="single" w:color="CCCCCC" w:sz="1"/>
              <w:bottom w:val="single" w:color="CCCCCC" w:sz="1"/>
              <w:right w:val="single" w:color="CCCCCC" w:sz="1"/>
            </w:tcBorders>
            <w:shd w:fill="F3F4F6" w:val="clear"/>
          </w:tcPr>
          <w:p>
            <w:r>
              <w:t xml:space="preserve">Response window</w:t>
            </w:r>
          </w:p>
        </w:tc>
        <w:tc>
          <w:tcPr>
            <w:tcW w:type="dxa" w:w="3200"/>
            <w:tcBorders>
              <w:top w:val="single" w:color="CCCCCC" w:sz="1"/>
              <w:left w:val="single" w:color="CCCCCC" w:sz="1"/>
              <w:bottom w:val="single" w:color="CCCCCC" w:sz="1"/>
              <w:right w:val="single" w:color="CCCCCC" w:sz="1"/>
            </w:tcBorders>
          </w:tcPr>
          <w:p>
            <w:r>
              <w:t xml:space="preserve">3 business days</w:t>
            </w:r>
          </w:p>
        </w:tc>
        <w:tc>
          <w:tcPr>
            <w:tcW w:type="dxa" w:w="3760"/>
            <w:tcBorders>
              <w:top w:val="single" w:color="CCCCCC" w:sz="1"/>
              <w:left w:val="single" w:color="CCCCCC" w:sz="1"/>
              <w:bottom w:val="single" w:color="CCCCCC" w:sz="1"/>
              <w:right w:val="single" w:color="CCCCCC" w:sz="1"/>
            </w:tcBorders>
          </w:tcPr>
          <w:p>
            <w:r>
              <w:t xml:space="preserve">Update if operational capacity changes.</w:t>
            </w:r>
          </w:p>
        </w:tc>
      </w:tr>
    </w:tbl>
    <w:p>
      <w:pPr>
        <w:pStyle w:val="Heading2"/>
      </w:pPr>
      <w:r>
        <w:t xml:space="preserve">5.2 How to edit a tier</w:t>
      </w:r>
    </w:p>
    <w:p>
      <w:pPr>
        <w:pStyle w:val="ListParagraph"/>
        <w:numPr>
          <w:ilvl w:val="0"/>
          <w:numId w:val="3"/>
        </w:numPr>
      </w:pPr>
      <w:r>
        <w:t xml:space="preserve">Open src/components/landing/offer.ts.</w:t>
      </w:r>
    </w:p>
    <w:p>
      <w:pPr>
        <w:pStyle w:val="ListParagraph"/>
        <w:numPr>
          <w:ilvl w:val="0"/>
          <w:numId w:val="3"/>
        </w:numPr>
      </w:pPr>
      <w:r>
        <w:t xml:space="preserve">Locate the TIERS array and the object matching the tier to change.</w:t>
      </w:r>
    </w:p>
    <w:p>
      <w:pPr>
        <w:pStyle w:val="ListParagraph"/>
        <w:numPr>
          <w:ilvl w:val="0"/>
          <w:numId w:val="3"/>
        </w:numPr>
      </w:pPr>
      <w:r>
        <w:t xml:space="preserve">Edit only the string fields (name, format, price, summary, forYou, notForYou, process, cta, href).</w:t>
      </w:r>
    </w:p>
    <w:p>
      <w:pPr>
        <w:pStyle w:val="ListParagraph"/>
        <w:numPr>
          <w:ilvl w:val="0"/>
          <w:numId w:val="3"/>
        </w:numPr>
      </w:pPr>
      <w:r>
        <w:t xml:space="preserve">Save the file. Vite HMR will update the preview automatically.</w:t>
      </w:r>
    </w:p>
    <w:p>
      <w:pPr>
        <w:pStyle w:val="ListParagraph"/>
        <w:numPr>
          <w:ilvl w:val="0"/>
          <w:numId w:val="3"/>
        </w:numPr>
      </w:pPr>
      <w:r>
        <w:t xml:space="preserve">Check all three cards on desktop and mobile before publishing.</w:t>
      </w:r>
    </w:p>
    <w:p>
      <w:pPr>
        <w:pStyle w:val="Heading1"/>
      </w:pPr>
      <w:r>
        <w:t xml:space="preserve">6. VSL Script Standards</w:t>
      </w:r>
    </w:p>
    <w:p>
      <w:r>
        <w:t xml:space="preserve">The video sales letter is the primary conversion driver. The script in docs/vsl-script.md follows these non-negotiable rules derived from the Jeremy Haynes framework:</w:t>
      </w:r>
    </w:p>
    <w:p>
      <w:pPr>
        <w:pStyle w:val="ListParagraph"/>
        <w:numPr>
          <w:ilvl w:val="0"/>
          <w:numId w:val="2"/>
        </w:numPr>
      </w:pPr>
      <w:r>
        <w:t xml:space="preserve">Runtime: 3:45 to 4:00 maximum.</w:t>
      </w:r>
    </w:p>
    <w:p>
      <w:pPr>
        <w:pStyle w:val="ListParagraph"/>
        <w:numPr>
          <w:ilvl w:val="0"/>
          <w:numId w:val="2"/>
        </w:numPr>
      </w:pPr>
      <w:r>
        <w:t xml:space="preserve">No price is stated anywhere in the video. Price lives on the page below the video.</w:t>
      </w:r>
    </w:p>
    <w:p>
      <w:pPr>
        <w:pStyle w:val="ListParagraph"/>
        <w:numPr>
          <w:ilvl w:val="0"/>
          <w:numId w:val="2"/>
        </w:numPr>
      </w:pPr>
      <w:r>
        <w:t xml:space="preserve">No value stacks, no inflated pricing theater, no overzealous claims.</w:t>
      </w:r>
    </w:p>
    <w:p>
      <w:pPr>
        <w:pStyle w:val="ListParagraph"/>
        <w:numPr>
          <w:ilvl w:val="0"/>
          <w:numId w:val="2"/>
        </w:numPr>
      </w:pPr>
      <w:r>
        <w:t xml:space="preserve">The hook must let the viewer decide "this is for me" within the first 8 seconds.</w:t>
      </w:r>
    </w:p>
    <w:p>
      <w:pPr>
        <w:pStyle w:val="ListParagraph"/>
        <w:numPr>
          <w:ilvl w:val="0"/>
          <w:numId w:val="2"/>
        </w:numPr>
      </w:pPr>
      <w:r>
        <w:t xml:space="preserve">Proof must be real words from real people, not rewritten marketing copy.</w:t>
      </w:r>
    </w:p>
    <w:p>
      <w:pPr>
        <w:pStyle w:val="ListParagraph"/>
        <w:numPr>
          <w:ilvl w:val="0"/>
          <w:numId w:val="2"/>
        </w:numPr>
      </w:pPr>
      <w:r>
        <w:t xml:space="preserve">Tone is direct, concise, conversational authority with empathy.</w:t>
      </w:r>
    </w:p>
    <w:p>
      <w:r>
        <w:t xml:space="preserve">When updating the script, preserve the section timing and the original quotes. If a testimonial changes, replace it only with another real, verifiable quote and keep the speaker's actual wording.</w:t>
      </w:r>
    </w:p>
    <w:p>
      <w:pPr>
        <w:pStyle w:val="Heading1"/>
      </w:pPr>
      <w:r>
        <w:t xml:space="preserve">7. Build &amp; Preview Workflow</w:t>
      </w:r>
    </w:p>
    <w:p>
      <w:pPr>
        <w:pStyle w:val="Heading2"/>
      </w:pPr>
      <w:r>
        <w:t xml:space="preserve">7.1 Local development</w:t>
      </w:r>
    </w:p>
    <w:p>
      <w:r>
        <w:t xml:space="preserve">The dev server runs on localhost:8080. Use the standard Lovable preview. Do not run manual builds unless debugging a production-specific issue.</w:t>
      </w:r>
    </w:p>
    <w:p>
      <w:pPr>
        <w:pStyle w:val="Heading2"/>
      </w:pPr>
      <w:r>
        <w:t xml:space="preserve">7.2 Before publishing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3F4F6" w:val="clear"/>
          </w:tcPr>
          <w:p>
            <w:r>
              <w:t xml:space="preserve">☐</w:t>
            </w:r>
          </w:p>
        </w:tc>
        <w:tc>
          <w:tcPr>
            <w:tcW w:type="dxa" w:w="8160"/>
            <w:tcBorders>
              <w:top w:val="single" w:color="CCCCCC" w:sz="1"/>
              <w:left w:val="single" w:color="CCCCCC" w:sz="1"/>
              <w:bottom w:val="single" w:color="CCCCCC" w:sz="1"/>
              <w:right w:val="single" w:color="CCCCCC" w:sz="1"/>
            </w:tcBorders>
          </w:tcPr>
          <w:p>
            <w:r>
              <w:t xml:space="preserve">All href values in offer.ts point to live checkout or booking URLs.</w:t>
            </w:r>
          </w:p>
        </w:tc>
      </w:tr>
      <w:tr>
        <w:tc>
          <w:tcPr>
            <w:tcW w:type="dxa" w:w="1200"/>
            <w:tcBorders>
              <w:top w:val="single" w:color="CCCCCC" w:sz="1"/>
              <w:left w:val="single" w:color="CCCCCC" w:sz="1"/>
              <w:bottom w:val="single" w:color="CCCCCC" w:sz="1"/>
              <w:right w:val="single" w:color="CCCCCC" w:sz="1"/>
            </w:tcBorders>
            <w:shd w:fill="F3F4F6" w:val="clear"/>
          </w:tcPr>
          <w:p>
            <w:r>
              <w:t xml:space="preserve">☐</w:t>
            </w:r>
          </w:p>
        </w:tc>
        <w:tc>
          <w:tcPr>
            <w:tcW w:type="dxa" w:w="8160"/>
            <w:tcBorders>
              <w:top w:val="single" w:color="CCCCCC" w:sz="1"/>
              <w:left w:val="single" w:color="CCCCCC" w:sz="1"/>
              <w:bottom w:val="single" w:color="CCCCCC" w:sz="1"/>
              <w:right w:val="single" w:color="CCCCCC" w:sz="1"/>
            </w:tcBorders>
          </w:tcPr>
          <w:p>
            <w:r>
              <w:t xml:space="preserve">Prices in the tier cards match the checkout links.</w:t>
            </w:r>
          </w:p>
        </w:tc>
      </w:tr>
      <w:tr>
        <w:tc>
          <w:tcPr>
            <w:tcW w:type="dxa" w:w="1200"/>
            <w:tcBorders>
              <w:top w:val="single" w:color="CCCCCC" w:sz="1"/>
              <w:left w:val="single" w:color="CCCCCC" w:sz="1"/>
              <w:bottom w:val="single" w:color="CCCCCC" w:sz="1"/>
              <w:right w:val="single" w:color="CCCCCC" w:sz="1"/>
            </w:tcBorders>
            <w:shd w:fill="F3F4F6" w:val="clear"/>
          </w:tcPr>
          <w:p>
            <w:r>
              <w:t xml:space="preserve">☐</w:t>
            </w:r>
          </w:p>
        </w:tc>
        <w:tc>
          <w:tcPr>
            <w:tcW w:type="dxa" w:w="8160"/>
            <w:tcBorders>
              <w:top w:val="single" w:color="CCCCCC" w:sz="1"/>
              <w:left w:val="single" w:color="CCCCCC" w:sz="1"/>
              <w:bottom w:val="single" w:color="CCCCCC" w:sz="1"/>
              <w:right w:val="single" w:color="CCCCCC" w:sz="1"/>
            </w:tcBorders>
          </w:tcPr>
          <w:p>
            <w:r>
              <w:t xml:space="preserve">Video embed URL is set and the player loads above the fold.</w:t>
            </w:r>
          </w:p>
        </w:tc>
      </w:tr>
      <w:tr>
        <w:tc>
          <w:tcPr>
            <w:tcW w:type="dxa" w:w="1200"/>
            <w:tcBorders>
              <w:top w:val="single" w:color="CCCCCC" w:sz="1"/>
              <w:left w:val="single" w:color="CCCCCC" w:sz="1"/>
              <w:bottom w:val="single" w:color="CCCCCC" w:sz="1"/>
              <w:right w:val="single" w:color="CCCCCC" w:sz="1"/>
            </w:tcBorders>
            <w:shd w:fill="F3F4F6" w:val="clear"/>
          </w:tcPr>
          <w:p>
            <w:r>
              <w:t xml:space="preserve">☐</w:t>
            </w:r>
          </w:p>
        </w:tc>
        <w:tc>
          <w:tcPr>
            <w:tcW w:type="dxa" w:w="8160"/>
            <w:tcBorders>
              <w:top w:val="single" w:color="CCCCCC" w:sz="1"/>
              <w:left w:val="single" w:color="CCCCCC" w:sz="1"/>
              <w:bottom w:val="single" w:color="CCCCCC" w:sz="1"/>
              <w:right w:val="single" w:color="CCCCCC" w:sz="1"/>
            </w:tcBorders>
          </w:tcPr>
          <w:p>
            <w:r>
              <w:t xml:space="preserve">Mobile viewport tested: text readable, CTAs tappable, cards stack cleanly.</w:t>
            </w:r>
          </w:p>
        </w:tc>
      </w:tr>
      <w:tr>
        <w:tc>
          <w:tcPr>
            <w:tcW w:type="dxa" w:w="1200"/>
            <w:tcBorders>
              <w:top w:val="single" w:color="CCCCCC" w:sz="1"/>
              <w:left w:val="single" w:color="CCCCCC" w:sz="1"/>
              <w:bottom w:val="single" w:color="CCCCCC" w:sz="1"/>
              <w:right w:val="single" w:color="CCCCCC" w:sz="1"/>
            </w:tcBorders>
            <w:shd w:fill="F3F4F6" w:val="clear"/>
          </w:tcPr>
          <w:p>
            <w:r>
              <w:t xml:space="preserve">☐</w:t>
            </w:r>
          </w:p>
        </w:tc>
        <w:tc>
          <w:tcPr>
            <w:tcW w:type="dxa" w:w="8160"/>
            <w:tcBorders>
              <w:top w:val="single" w:color="CCCCCC" w:sz="1"/>
              <w:left w:val="single" w:color="CCCCCC" w:sz="1"/>
              <w:bottom w:val="single" w:color="CCCCCC" w:sz="1"/>
              <w:right w:val="single" w:color="CCCCCC" w:sz="1"/>
            </w:tcBorders>
          </w:tcPr>
          <w:p>
            <w:r>
              <w:t xml:space="preserve">No console errors or broken image links in the preview.</w:t>
            </w:r>
          </w:p>
        </w:tc>
      </w:tr>
      <w:tr>
        <w:tc>
          <w:tcPr>
            <w:tcW w:type="dxa" w:w="1200"/>
            <w:tcBorders>
              <w:top w:val="single" w:color="CCCCCC" w:sz="1"/>
              <w:left w:val="single" w:color="CCCCCC" w:sz="1"/>
              <w:bottom w:val="single" w:color="CCCCCC" w:sz="1"/>
              <w:right w:val="single" w:color="CCCCCC" w:sz="1"/>
            </w:tcBorders>
            <w:shd w:fill="F3F4F6" w:val="clear"/>
          </w:tcPr>
          <w:p>
            <w:r>
              <w:t xml:space="preserve">☐</w:t>
            </w:r>
          </w:p>
        </w:tc>
        <w:tc>
          <w:tcPr>
            <w:tcW w:type="dxa" w:w="8160"/>
            <w:tcBorders>
              <w:top w:val="single" w:color="CCCCCC" w:sz="1"/>
              <w:left w:val="single" w:color="CCCCCC" w:sz="1"/>
              <w:bottom w:val="single" w:color="CCCCCC" w:sz="1"/>
              <w:right w:val="single" w:color="CCCCCC" w:sz="1"/>
            </w:tcBorders>
          </w:tcPr>
          <w:p>
            <w:r>
              <w:t xml:space="preserve">Head metadata on the home route is unique and not "Lovable App".</w:t>
            </w:r>
          </w:p>
        </w:tc>
      </w:tr>
    </w:tbl>
    <w:p>
      <w:pPr>
        <w:pStyle w:val="Heading1"/>
      </w:pPr>
      <w:r>
        <w:t xml:space="preserve">8. Design &amp; Copy Constraints</w:t>
      </w:r>
    </w:p>
    <w:p>
      <w:r>
        <w:t xml:space="preserve">These rules protect conversion and brand trust:</w:t>
      </w:r>
    </w:p>
    <w:p>
      <w:pPr>
        <w:pStyle w:val="ListParagraph"/>
        <w:numPr>
          <w:ilvl w:val="0"/>
          <w:numId w:val="2"/>
        </w:numPr>
      </w:pPr>
      <w:r>
        <w:t xml:space="preserve">Use semantic Tailwind tokens (text-foreground, bg-card, border-line, text-accent) instead of hardcoded hex values.</w:t>
      </w:r>
    </w:p>
    <w:p>
      <w:pPr>
        <w:pStyle w:val="ListParagraph"/>
        <w:numPr>
          <w:ilvl w:val="0"/>
          <w:numId w:val="2"/>
        </w:numPr>
      </w:pPr>
      <w:r>
        <w:t xml:space="preserve">Keep the visual style Apple-like minimal: clean typography, generous whitespace, no clutter.</w:t>
      </w:r>
    </w:p>
    <w:p>
      <w:pPr>
        <w:pStyle w:val="ListParagraph"/>
        <w:numPr>
          <w:ilvl w:val="0"/>
          <w:numId w:val="2"/>
        </w:numPr>
      </w:pPr>
      <w:r>
        <w:t xml:space="preserve">Write every line as if Gabby is talking to one mom, not presenting to a crowd.</w:t>
      </w:r>
    </w:p>
    <w:p>
      <w:pPr>
        <w:pStyle w:val="ListParagraph"/>
        <w:numPr>
          <w:ilvl w:val="0"/>
          <w:numId w:val="2"/>
        </w:numPr>
      </w:pPr>
      <w:r>
        <w:t xml:space="preserve">Be specific: names, ages, injuries, dollar amounts, timeframes. Avoid vague superlatives.</w:t>
      </w:r>
    </w:p>
    <w:p>
      <w:pPr>
        <w:pStyle w:val="ListParagraph"/>
        <w:numPr>
          <w:ilvl w:val="0"/>
          <w:numId w:val="2"/>
        </w:numPr>
      </w:pPr>
      <w:r>
        <w:t xml:space="preserve">Do not add pop-ups, chat widgets, or exit-intent overlays to this page.</w:t>
      </w:r>
    </w:p>
    <w:p>
      <w:pPr>
        <w:pStyle w:val="ListParagraph"/>
        <w:numPr>
          <w:ilvl w:val="0"/>
          <w:numId w:val="2"/>
        </w:numPr>
      </w:pPr>
      <w:r>
        <w:t xml:space="preserve">Do not introduce navigation away from the single-page flow.</w:t>
      </w:r>
    </w:p>
    <w:p>
      <w:pPr>
        <w:pStyle w:val="Heading1"/>
      </w:pPr>
      <w:r>
        <w:t xml:space="preserve">9. Publishing</w:t>
      </w:r>
    </w:p>
    <w:p>
      <w:r>
        <w:t xml:space="preserve">Use the Lovable publish action in the editor. After publishing, record the live URL and add it to this SOP's revision log. Verify the published page against the checklist in section 7.2.</w:t>
      </w:r>
    </w:p>
    <w:p>
      <w:pPr>
        <w:pStyle w:val="Heading1"/>
      </w:pPr>
      <w:r>
        <w:t xml:space="preserve">10. Maintenance &amp; Revisions</w:t>
      </w:r>
    </w:p>
    <w:p>
      <w:r>
        <w:t xml:space="preserve">When the offer, testimonials, or video change:</w:t>
      </w:r>
    </w:p>
    <w:p>
      <w:pPr>
        <w:pStyle w:val="ListParagraph"/>
        <w:numPr>
          <w:ilvl w:val="0"/>
          <w:numId w:val="3"/>
        </w:numPr>
      </w:pPr>
      <w:r>
        <w:t xml:space="preserve">Update docs/vsl-script.md for any script change.</w:t>
      </w:r>
    </w:p>
    <w:p>
      <w:pPr>
        <w:pStyle w:val="ListParagraph"/>
        <w:numPr>
          <w:ilvl w:val="0"/>
          <w:numId w:val="3"/>
        </w:numPr>
      </w:pPr>
      <w:r>
        <w:t xml:space="preserve">Update src/components/landing/offer.ts for pricing or tier copy.</w:t>
      </w:r>
    </w:p>
    <w:p>
      <w:pPr>
        <w:pStyle w:val="ListParagraph"/>
        <w:numPr>
          <w:ilvl w:val="0"/>
          <w:numId w:val="3"/>
        </w:numPr>
      </w:pPr>
      <w:r>
        <w:t xml:space="preserve">Update the relevant component (Testimonials, Hero, AboutGabby) for content changes.</w:t>
      </w:r>
    </w:p>
    <w:p>
      <w:pPr>
        <w:pStyle w:val="ListParagraph"/>
        <w:numPr>
          <w:ilvl w:val="0"/>
          <w:numId w:val="3"/>
        </w:numPr>
      </w:pPr>
      <w:r>
        <w:t xml:space="preserve">Run the preview checklist.</w:t>
      </w:r>
    </w:p>
    <w:p>
      <w:pPr>
        <w:pStyle w:val="ListParagraph"/>
        <w:numPr>
          <w:ilvl w:val="0"/>
          <w:numId w:val="3"/>
        </w:numPr>
      </w:pPr>
      <w:r>
        <w:t xml:space="preserve">Republish and verify the live URL.</w:t>
      </w:r>
    </w:p>
    <w:p>
      <w:pPr>
        <w:pStyle w:val="ListParagraph"/>
        <w:numPr>
          <w:ilvl w:val="0"/>
          <w:numId w:val="3"/>
        </w:numPr>
      </w:pPr>
      <w:r>
        <w:t xml:space="preserve">Increment the version number in this SOP and record the change date.</w:t>
      </w:r>
    </w:p>
    <w:p>
      <w:pPr>
        <w:pStyle w:val="Heading1"/>
      </w:pPr>
      <w:r>
        <w:t xml:space="preserve">11. Revision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F3F4F6" w:val="clear"/>
          </w:tcPr>
          <w:p>
            <w:r>
              <w:t xml:space="preserve">Date</w:t>
            </w:r>
          </w:p>
        </w:tc>
        <w:tc>
          <w:tcPr>
            <w:tcW w:type="dxa" w:w="1600"/>
            <w:tcBorders>
              <w:top w:val="single" w:color="CCCCCC" w:sz="1"/>
              <w:left w:val="single" w:color="CCCCCC" w:sz="1"/>
              <w:bottom w:val="single" w:color="CCCCCC" w:sz="1"/>
              <w:right w:val="single" w:color="CCCCCC" w:sz="1"/>
            </w:tcBorders>
            <w:shd w:fill="F3F4F6" w:val="clear"/>
          </w:tcPr>
          <w:p>
            <w:r>
              <w:t xml:space="preserve">Version</w:t>
            </w:r>
          </w:p>
        </w:tc>
        <w:tc>
          <w:tcPr>
            <w:tcW w:type="dxa" w:w="6160"/>
            <w:tcBorders>
              <w:top w:val="single" w:color="CCCCCC" w:sz="1"/>
              <w:left w:val="single" w:color="CCCCCC" w:sz="1"/>
              <w:bottom w:val="single" w:color="CCCCCC" w:sz="1"/>
              <w:right w:val="single" w:color="CCCCCC" w:sz="1"/>
            </w:tcBorders>
            <w:shd w:fill="F3F4F6" w:val="clear"/>
          </w:tcPr>
          <w:p>
            <w:r>
              <w:t xml:space="preserve">Changes</w:t>
            </w:r>
          </w:p>
        </w:tc>
      </w:tr>
      <w:tr>
        <w:tc>
          <w:tcPr>
            <w:tcW w:type="dxa" w:w="1600"/>
            <w:tcBorders>
              <w:top w:val="single" w:color="CCCCCC" w:sz="1"/>
              <w:left w:val="single" w:color="CCCCCC" w:sz="1"/>
              <w:bottom w:val="single" w:color="CCCCCC" w:sz="1"/>
              <w:right w:val="single" w:color="CCCCCC" w:sz="1"/>
            </w:tcBorders>
          </w:tcPr>
          <w:p>
            <w:r>
              <w:t xml:space="preserve">2026-08-10</w:t>
            </w:r>
          </w:p>
        </w:tc>
        <w:tc>
          <w:tcPr>
            <w:tcW w:type="dxa" w:w="1600"/>
            <w:tcBorders>
              <w:top w:val="single" w:color="CCCCCC" w:sz="1"/>
              <w:left w:val="single" w:color="CCCCCC" w:sz="1"/>
              <w:bottom w:val="single" w:color="CCCCCC" w:sz="1"/>
              <w:right w:val="single" w:color="CCCCCC" w:sz="1"/>
            </w:tcBorders>
          </w:tcPr>
          <w:p>
            <w:r>
              <w:t xml:space="preserve">1.0</w:t>
            </w:r>
          </w:p>
        </w:tc>
        <w:tc>
          <w:tcPr>
            <w:tcW w:type="dxa" w:w="6160"/>
            <w:tcBorders>
              <w:top w:val="single" w:color="CCCCCC" w:sz="1"/>
              <w:left w:val="single" w:color="CCCCCC" w:sz="1"/>
              <w:bottom w:val="single" w:color="CCCCCC" w:sz="1"/>
              <w:right w:val="single" w:color="CCCCCC" w:sz="1"/>
            </w:tcBorders>
          </w:tcPr>
          <w:p>
            <w:r>
              <w:t xml:space="preserve">Initial SOP created for triage landing page build.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B7280"/>
        <w:sz w:val="18"/>
        <w:szCs w:val="18"/>
      </w:rPr>
      <w:t xml:space="preserve">Gabby Cole Landing Page — 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374151"/>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2026-08-10T18:32:04.945Z</dcterms:created>
  <dcterms:modified xsi:type="dcterms:W3CDTF">2026-08-10T18:32:04.946Z</dcterms:modified>
</cp:coreProperties>
</file>

<file path=docProps/custom.xml><?xml version="1.0" encoding="utf-8"?>
<Properties xmlns="http://schemas.openxmlformats.org/officeDocument/2006/custom-properties" xmlns:vt="http://schemas.openxmlformats.org/officeDocument/2006/docPropsVTypes"/>
</file>