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982FF7"/>
          <w:sz w:val="52"/>
          <w:szCs w:val="52"/>
        </w:rPr>
        <w:t xml:space="preserve">members.gabbycole.com</w:t>
      </w:r>
    </w:p>
    <w:p>
      <w:pPr>
        <w:spacing w:after="80" w:before="0"/>
      </w:pPr>
      <w:r>
        <w:rPr>
          <w:rFonts w:ascii="Arial" w:cs="Arial" w:eastAsia="Arial" w:hAnsi="Arial"/>
          <w:color w:val="5F5E5A"/>
          <w:sz w:val="28"/>
          <w:szCs w:val="28"/>
        </w:rPr>
        <w:t xml:space="preserve">Replit Build Instructions — MindSystem Tile</w:t>
      </w:r>
    </w:p>
    <w:p>
      <w:pPr>
        <w:spacing w:after="480" w:before="0"/>
      </w:pPr>
      <w:r>
        <w:rPr>
          <w:rFonts w:ascii="Arial" w:cs="Arial" w:eastAsia="Arial" w:hAnsi="Arial"/>
          <w:i/>
          <w:iCs/>
          <w:color w:val="888780"/>
          <w:sz w:val="22"/>
          <w:szCs w:val="22"/>
        </w:rPr>
        <w:t xml:space="preserve">MazePerformance Inc. · MindSystem Video Training + Webhook Verification</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00  OVERVIEW</w:t>
      </w:r>
    </w:p>
    <w:p>
      <w:pPr>
        <w:spacing w:after="80" w:before="80"/>
      </w:pPr>
      <w:r>
        <w:rPr>
          <w:rFonts w:ascii="Arial" w:cs="Arial" w:eastAsia="Arial" w:hAnsi="Arial"/>
          <w:color w:val="2C2C2A"/>
          <w:sz w:val="22"/>
          <w:szCs w:val="22"/>
        </w:rPr>
        <w:t xml:space="preserve">This document covers adding a new MindSystem tile to the course grid, building out its full content structure (Athlete + Parent tracks with all sub-sections), locking it to MindSystem tiers only, and verifying that the GoHighLevel webhooks for all three MindSystem tiers are correctly wired to grant access.</w:t>
      </w:r>
    </w:p>
    <w:p>
      <w:pPr>
        <w:spacing w:before="160"/>
      </w:pPr>
    </w:p>
    <w:p>
      <w:pPr>
        <w:spacing w:after="80" w:before="80"/>
      </w:pPr>
      <w:r>
        <w:rPr>
          <w:rFonts w:ascii="Arial" w:cs="Arial" w:eastAsia="Arial" w:hAnsi="Arial"/>
          <w:color w:val="2C2C2A"/>
          <w:sz w:val="22"/>
          <w:szCs w:val="22"/>
        </w:rPr>
        <w:t xml:space="preserve">The MindSystem tile contains video instructions for using the MindSystem journals and MAZE model. It is the same content for all three MindSystem tiers (Independent, Supported, Inner Circle). Free and Courtside members see the tile but cannot access it.</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01  DATA STRUCTURE — lib/data.ts</w:t>
      </w:r>
    </w:p>
    <w:p>
      <w:pPr>
        <w:spacing w:after="80" w:before="80"/>
      </w:pPr>
      <w:r>
        <w:rPr>
          <w:rFonts w:ascii="Arial" w:cs="Arial" w:eastAsia="Arial" w:hAnsi="Arial"/>
          <w:color w:val="2C2C2A"/>
          <w:sz w:val="22"/>
          <w:szCs w:val="22"/>
        </w:rPr>
        <w:t xml:space="preserve">Add the MindSystem course to the courses array in lib/data.ts. The structure has two top-level tracks (Athlete and Parent), each containing the same set of sections. Inside each section are exactly two videos: an Overview video (for use with the worksheet while the journal is shipping) and a Journal video (instructions for transferring worksheet responses into the physical journal).</w:t>
      </w:r>
    </w:p>
    <w:p>
      <w:pPr>
        <w:spacing w:before="160"/>
      </w:pPr>
    </w:p>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Use "PLACEHOLDER" for all videoId values until real YouTube IDs are ready. The Execute section has 6 sub-lessons instead of 2 — see below.</w:t>
      </w:r>
    </w:p>
    <w:p>
      <w:pPr>
        <w:spacing w:before="160"/>
      </w:pPr>
    </w:p>
    <w:p>
      <w:pPr>
        <w:spacing w:after="60" w:before="60"/>
      </w:pPr>
      <w:r>
        <w:rPr>
          <w:rFonts w:ascii="Courier New" w:cs="Courier New" w:eastAsia="Courier New" w:hAnsi="Courier New"/>
          <w:color w:val="5F5E5A"/>
          <w:sz w:val="18"/>
          <w:szCs w:val="18"/>
        </w:rPr>
        <w:t xml:space="preserve">// Add this object to the courses array in lib/data.ts</w:t>
      </w:r>
    </w:p>
    <w:p>
      <w:pPr>
        <w:spacing w:after="60" w:before="60"/>
      </w:pPr>
      <w:r>
        <w:rPr>
          <w:rFonts w:ascii="Courier New" w:cs="Courier New" w:eastAsia="Courier New" w:hAnsi="Courier New"/>
          <w:color w:val="5F5E5A"/>
          <w:sz w:val="18"/>
          <w:szCs w:val="18"/>
        </w:rPr>
        <w:t xml:space="preserve">{</w:t>
      </w:r>
    </w:p>
    <w:p>
      <w:pPr>
        <w:spacing w:after="60" w:before="60"/>
      </w:pPr>
      <w:r>
        <w:rPr>
          <w:rFonts w:ascii="Courier New" w:cs="Courier New" w:eastAsia="Courier New" w:hAnsi="Courier New"/>
          <w:color w:val="5F5E5A"/>
          <w:sz w:val="18"/>
          <w:szCs w:val="18"/>
        </w:rPr>
        <w:t xml:space="preserve">  id: "mindsystem",</w:t>
      </w:r>
    </w:p>
    <w:p>
      <w:pPr>
        <w:spacing w:after="60" w:before="60"/>
      </w:pPr>
      <w:r>
        <w:rPr>
          <w:rFonts w:ascii="Courier New" w:cs="Courier New" w:eastAsia="Courier New" w:hAnsi="Courier New"/>
          <w:color w:val="5F5E5A"/>
          <w:sz w:val="18"/>
          <w:szCs w:val="18"/>
        </w:rPr>
        <w:t xml:space="preserve">  title: "MindSystem",</w:t>
      </w:r>
    </w:p>
    <w:p>
      <w:pPr>
        <w:spacing w:after="60" w:before="60"/>
      </w:pPr>
      <w:r>
        <w:rPr>
          <w:rFonts w:ascii="Courier New" w:cs="Courier New" w:eastAsia="Courier New" w:hAnsi="Courier New"/>
          <w:color w:val="5F5E5A"/>
          <w:sz w:val="18"/>
          <w:szCs w:val="18"/>
        </w:rPr>
        <w:t xml:space="preserve">  description: "Video instructions for using your MindSystem journals and MAZE model.",</w:t>
      </w:r>
    </w:p>
    <w:p>
      <w:pPr>
        <w:spacing w:after="60" w:before="60"/>
      </w:pPr>
      <w:r>
        <w:rPr>
          <w:rFonts w:ascii="Courier New" w:cs="Courier New" w:eastAsia="Courier New" w:hAnsi="Courier New"/>
          <w:color w:val="5F5E5A"/>
          <w:sz w:val="18"/>
          <w:szCs w:val="18"/>
        </w:rPr>
        <w:t xml:space="preserve">  thumbnail: null,</w:t>
      </w:r>
    </w:p>
    <w:p>
      <w:pPr>
        <w:spacing w:after="60" w:before="60"/>
      </w:pPr>
      <w:r>
        <w:rPr>
          <w:rFonts w:ascii="Courier New" w:cs="Courier New" w:eastAsia="Courier New" w:hAnsi="Courier New"/>
          <w:color w:val="5F5E5A"/>
          <w:sz w:val="18"/>
          <w:szCs w:val="18"/>
        </w:rPr>
        <w:t xml:space="preserve">  gradientFrom: "#982FF7",</w:t>
      </w:r>
    </w:p>
    <w:p>
      <w:pPr>
        <w:spacing w:after="60" w:before="60"/>
      </w:pPr>
      <w:r>
        <w:rPr>
          <w:rFonts w:ascii="Courier New" w:cs="Courier New" w:eastAsia="Courier New" w:hAnsi="Courier New"/>
          <w:color w:val="5F5E5A"/>
          <w:sz w:val="18"/>
          <w:szCs w:val="18"/>
        </w:rPr>
        <w:t xml:space="preserve">  gradientTo: "#FF2D78",</w:t>
      </w:r>
    </w:p>
    <w:p>
      <w:pPr>
        <w:spacing w:after="60" w:before="60"/>
      </w:pPr>
      <w:r>
        <w:rPr>
          <w:rFonts w:ascii="Courier New" w:cs="Courier New" w:eastAsia="Courier New" w:hAnsi="Courier New"/>
          <w:color w:val="5F5E5A"/>
          <w:sz w:val="18"/>
          <w:szCs w:val="18"/>
        </w:rPr>
        <w:t xml:space="preserve">  lockedTiers: ["free", "courtside"], // only independent, supported, inner-circle can access</w:t>
      </w:r>
    </w:p>
    <w:p>
      <w:pPr>
        <w:spacing w:after="60" w:before="60"/>
      </w:pPr>
      <w:r>
        <w:rPr>
          <w:rFonts w:ascii="Courier New" w:cs="Courier New" w:eastAsia="Courier New" w:hAnsi="Courier New"/>
          <w:color w:val="5F5E5A"/>
          <w:sz w:val="18"/>
          <w:szCs w:val="18"/>
        </w:rPr>
        <w:t xml:space="preserve">  tracks: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id: "athlete",</w:t>
      </w:r>
    </w:p>
    <w:p>
      <w:pPr>
        <w:spacing w:after="60" w:before="60"/>
      </w:pPr>
      <w:r>
        <w:rPr>
          <w:rFonts w:ascii="Courier New" w:cs="Courier New" w:eastAsia="Courier New" w:hAnsi="Courier New"/>
          <w:color w:val="5F5E5A"/>
          <w:sz w:val="18"/>
          <w:szCs w:val="18"/>
        </w:rPr>
        <w:t xml:space="preserve">      title: "Athlete",</w:t>
      </w:r>
    </w:p>
    <w:p>
      <w:pPr>
        <w:spacing w:after="60" w:before="60"/>
      </w:pPr>
      <w:r>
        <w:rPr>
          <w:rFonts w:ascii="Courier New" w:cs="Courier New" w:eastAsia="Courier New" w:hAnsi="Courier New"/>
          <w:color w:val="5F5E5A"/>
          <w:sz w:val="18"/>
          <w:szCs w:val="18"/>
        </w:rPr>
        <w:t xml:space="preserve">      sections: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id: "onboarding",</w:t>
      </w:r>
    </w:p>
    <w:p>
      <w:pPr>
        <w:spacing w:after="60" w:before="60"/>
      </w:pPr>
      <w:r>
        <w:rPr>
          <w:rFonts w:ascii="Courier New" w:cs="Courier New" w:eastAsia="Courier New" w:hAnsi="Courier New"/>
          <w:color w:val="5F5E5A"/>
          <w:sz w:val="18"/>
          <w:szCs w:val="18"/>
        </w:rPr>
        <w:t xml:space="preserve">          title: "Onboarding",</w:t>
      </w:r>
    </w:p>
    <w:p>
      <w:pPr>
        <w:spacing w:after="60" w:before="60"/>
      </w:pPr>
      <w:r>
        <w:rPr>
          <w:rFonts w:ascii="Courier New" w:cs="Courier New" w:eastAsia="Courier New" w:hAnsi="Courier New"/>
          <w:color w:val="5F5E5A"/>
          <w:sz w:val="18"/>
          <w:szCs w:val="18"/>
        </w:rPr>
        <w:t xml:space="preserve">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id: "bold-commitment",</w:t>
      </w:r>
    </w:p>
    <w:p>
      <w:pPr>
        <w:spacing w:after="60" w:before="60"/>
      </w:pPr>
      <w:r>
        <w:rPr>
          <w:rFonts w:ascii="Courier New" w:cs="Courier New" w:eastAsia="Courier New" w:hAnsi="Courier New"/>
          <w:color w:val="5F5E5A"/>
          <w:sz w:val="18"/>
          <w:szCs w:val="18"/>
        </w:rPr>
        <w:t xml:space="preserve">          title: "Bold Commitment",</w:t>
      </w:r>
    </w:p>
    <w:p>
      <w:pPr>
        <w:spacing w:after="60" w:before="60"/>
      </w:pPr>
      <w:r>
        <w:rPr>
          <w:rFonts w:ascii="Courier New" w:cs="Courier New" w:eastAsia="Courier New" w:hAnsi="Courier New"/>
          <w:color w:val="5F5E5A"/>
          <w:sz w:val="18"/>
          <w:szCs w:val="18"/>
        </w:rPr>
        <w:t xml:space="preserve">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id: "mindset",</w:t>
      </w:r>
    </w:p>
    <w:p>
      <w:pPr>
        <w:spacing w:after="60" w:before="60"/>
      </w:pPr>
      <w:r>
        <w:rPr>
          <w:rFonts w:ascii="Courier New" w:cs="Courier New" w:eastAsia="Courier New" w:hAnsi="Courier New"/>
          <w:color w:val="5F5E5A"/>
          <w:sz w:val="18"/>
          <w:szCs w:val="18"/>
        </w:rPr>
        <w:t xml:space="preserve">          title: "Mindset",</w:t>
      </w:r>
    </w:p>
    <w:p>
      <w:pPr>
        <w:spacing w:after="60" w:before="60"/>
      </w:pPr>
      <w:r>
        <w:rPr>
          <w:rFonts w:ascii="Courier New" w:cs="Courier New" w:eastAsia="Courier New" w:hAnsi="Courier New"/>
          <w:color w:val="5F5E5A"/>
          <w:sz w:val="18"/>
          <w:szCs w:val="18"/>
        </w:rPr>
        <w:t xml:space="preserve">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id: "analyze",</w:t>
      </w:r>
    </w:p>
    <w:p>
      <w:pPr>
        <w:spacing w:after="60" w:before="60"/>
      </w:pPr>
      <w:r>
        <w:rPr>
          <w:rFonts w:ascii="Courier New" w:cs="Courier New" w:eastAsia="Courier New" w:hAnsi="Courier New"/>
          <w:color w:val="5F5E5A"/>
          <w:sz w:val="18"/>
          <w:szCs w:val="18"/>
        </w:rPr>
        <w:t xml:space="preserve">          title: "Analyze",</w:t>
      </w:r>
    </w:p>
    <w:p>
      <w:pPr>
        <w:spacing w:after="60" w:before="60"/>
      </w:pPr>
      <w:r>
        <w:rPr>
          <w:rFonts w:ascii="Courier New" w:cs="Courier New" w:eastAsia="Courier New" w:hAnsi="Courier New"/>
          <w:color w:val="5F5E5A"/>
          <w:sz w:val="18"/>
          <w:szCs w:val="18"/>
        </w:rPr>
        <w:t xml:space="preserve">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id: "zero-in",</w:t>
      </w:r>
    </w:p>
    <w:p>
      <w:pPr>
        <w:spacing w:after="60" w:before="60"/>
      </w:pPr>
      <w:r>
        <w:rPr>
          <w:rFonts w:ascii="Courier New" w:cs="Courier New" w:eastAsia="Courier New" w:hAnsi="Courier New"/>
          <w:color w:val="5F5E5A"/>
          <w:sz w:val="18"/>
          <w:szCs w:val="18"/>
        </w:rPr>
        <w:t xml:space="preserve">          title: "Zero In",</w:t>
      </w:r>
    </w:p>
    <w:p>
      <w:pPr>
        <w:spacing w:after="60" w:before="60"/>
      </w:pPr>
      <w:r>
        <w:rPr>
          <w:rFonts w:ascii="Courier New" w:cs="Courier New" w:eastAsia="Courier New" w:hAnsi="Courier New"/>
          <w:color w:val="5F5E5A"/>
          <w:sz w:val="18"/>
          <w:szCs w:val="18"/>
        </w:rPr>
        <w:t xml:space="preserve">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id: "execute",</w:t>
      </w:r>
    </w:p>
    <w:p>
      <w:pPr>
        <w:spacing w:after="60" w:before="60"/>
      </w:pPr>
      <w:r>
        <w:rPr>
          <w:rFonts w:ascii="Courier New" w:cs="Courier New" w:eastAsia="Courier New" w:hAnsi="Courier New"/>
          <w:color w:val="5F5E5A"/>
          <w:sz w:val="18"/>
          <w:szCs w:val="18"/>
        </w:rPr>
        <w:t xml:space="preserve">          title: "Execute",</w:t>
      </w:r>
    </w:p>
    <w:p>
      <w:pPr>
        <w:spacing w:after="60" w:before="60"/>
      </w:pPr>
      <w:r>
        <w:rPr>
          <w:rFonts w:ascii="Courier New" w:cs="Courier New" w:eastAsia="Courier New" w:hAnsi="Courier New"/>
          <w:color w:val="5F5E5A"/>
          <w:sz w:val="18"/>
          <w:szCs w:val="18"/>
        </w:rPr>
        <w:t xml:space="preserve">          // Execute has 6 sub-sections instead of 2 lessons</w:t>
      </w:r>
    </w:p>
    <w:p>
      <w:pPr>
        <w:spacing w:after="60" w:before="60"/>
      </w:pPr>
      <w:r>
        <w:rPr>
          <w:rFonts w:ascii="Courier New" w:cs="Courier New" w:eastAsia="Courier New" w:hAnsi="Courier New"/>
          <w:color w:val="5F5E5A"/>
          <w:sz w:val="18"/>
          <w:szCs w:val="18"/>
        </w:rPr>
        <w:t xml:space="preserve">          subSections: [</w:t>
      </w:r>
    </w:p>
    <w:p>
      <w:pPr>
        <w:spacing w:after="60" w:before="60"/>
      </w:pPr>
      <w:r>
        <w:rPr>
          <w:rFonts w:ascii="Courier New" w:cs="Courier New" w:eastAsia="Courier New" w:hAnsi="Courier New"/>
          <w:color w:val="5F5E5A"/>
          <w:sz w:val="18"/>
          <w:szCs w:val="18"/>
        </w:rPr>
        <w:t xml:space="preserve">            { id: "execution-map", title: "Execution Map",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 id: "habit-tracker", title: "Habit Tracker",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 id: "accountability-checklist", title: "Accountability Checklist",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 id: "game-time", title: "Game Time",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 id: "practice-time", title: "Practice Time",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 id: "check-points", title: "Check Points",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id: "reflection",</w:t>
      </w:r>
    </w:p>
    <w:p>
      <w:pPr>
        <w:spacing w:after="60" w:before="60"/>
      </w:pPr>
      <w:r>
        <w:rPr>
          <w:rFonts w:ascii="Courier New" w:cs="Courier New" w:eastAsia="Courier New" w:hAnsi="Courier New"/>
          <w:color w:val="5F5E5A"/>
          <w:sz w:val="18"/>
          <w:szCs w:val="18"/>
        </w:rPr>
        <w:t xml:space="preserve">          title: "Reflection",</w:t>
      </w:r>
    </w:p>
    <w:p>
      <w:pPr>
        <w:spacing w:after="60" w:before="60"/>
      </w:pPr>
      <w:r>
        <w:rPr>
          <w:rFonts w:ascii="Courier New" w:cs="Courier New" w:eastAsia="Courier New" w:hAnsi="Courier New"/>
          <w:color w:val="5F5E5A"/>
          <w:sz w:val="18"/>
          <w:szCs w:val="18"/>
        </w:rPr>
        <w:t xml:space="preserve">          lessons: [</w:t>
      </w:r>
    </w:p>
    <w:p>
      <w:pPr>
        <w:spacing w:after="60" w:before="60"/>
      </w:pPr>
      <w:r>
        <w:rPr>
          <w:rFonts w:ascii="Courier New" w:cs="Courier New" w:eastAsia="Courier New" w:hAnsi="Courier New"/>
          <w:color w:val="5F5E5A"/>
          <w:sz w:val="18"/>
          <w:szCs w:val="18"/>
        </w:rPr>
        <w:t xml:space="preserve">            { id: 1, title: "Overview", videoId: "PLACEHOLDER" },</w:t>
      </w:r>
    </w:p>
    <w:p>
      <w:pPr>
        <w:spacing w:after="60" w:before="60"/>
      </w:pPr>
      <w:r>
        <w:rPr>
          <w:rFonts w:ascii="Courier New" w:cs="Courier New" w:eastAsia="Courier New" w:hAnsi="Courier New"/>
          <w:color w:val="5F5E5A"/>
          <w:sz w:val="18"/>
          <w:szCs w:val="18"/>
        </w:rPr>
        <w:t xml:space="preserve">            { id: 2, title: "How to Fill In Your Journal", videoId: "PLACEHOLDER"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id: "parent",</w:t>
      </w:r>
    </w:p>
    <w:p>
      <w:pPr>
        <w:spacing w:after="60" w:before="60"/>
      </w:pPr>
      <w:r>
        <w:rPr>
          <w:rFonts w:ascii="Courier New" w:cs="Courier New" w:eastAsia="Courier New" w:hAnsi="Courier New"/>
          <w:color w:val="5F5E5A"/>
          <w:sz w:val="18"/>
          <w:szCs w:val="18"/>
        </w:rPr>
        <w:t xml:space="preserve">      title: "Parent",</w:t>
      </w:r>
    </w:p>
    <w:p>
      <w:pPr>
        <w:spacing w:after="60" w:before="60"/>
      </w:pPr>
      <w:r>
        <w:rPr>
          <w:rFonts w:ascii="Courier New" w:cs="Courier New" w:eastAsia="Courier New" w:hAnsi="Courier New"/>
          <w:color w:val="5F5E5A"/>
          <w:sz w:val="18"/>
          <w:szCs w:val="18"/>
        </w:rPr>
        <w:t xml:space="preserve">      // Mirror the athlete sections exactly — same structure, same section IDs with "-parent" suffix</w:t>
      </w:r>
    </w:p>
    <w:p>
      <w:pPr>
        <w:spacing w:after="60" w:before="60"/>
      </w:pPr>
      <w:r>
        <w:rPr>
          <w:rFonts w:ascii="Courier New" w:cs="Courier New" w:eastAsia="Courier New" w:hAnsi="Courier New"/>
          <w:color w:val="5F5E5A"/>
          <w:sz w:val="18"/>
          <w:szCs w:val="18"/>
        </w:rPr>
        <w:t xml:space="preserve">      // Same 7 sections: onboarding, bold-commitment, mindset, analyze, zero-in, execute, reflection</w:t>
      </w:r>
    </w:p>
    <w:p>
      <w:pPr>
        <w:spacing w:after="60" w:before="60"/>
      </w:pPr>
      <w:r>
        <w:rPr>
          <w:rFonts w:ascii="Courier New" w:cs="Courier New" w:eastAsia="Courier New" w:hAnsi="Courier New"/>
          <w:color w:val="5F5E5A"/>
          <w:sz w:val="18"/>
          <w:szCs w:val="18"/>
        </w:rPr>
        <w:t xml:space="preserve">      // Execute has the same 6 sub-sections</w:t>
      </w:r>
    </w:p>
    <w:p>
      <w:pPr>
        <w:spacing w:after="60" w:before="60"/>
      </w:pPr>
      <w:r>
        <w:rPr>
          <w:rFonts w:ascii="Courier New" w:cs="Courier New" w:eastAsia="Courier New" w:hAnsi="Courier New"/>
          <w:color w:val="5F5E5A"/>
          <w:sz w:val="18"/>
          <w:szCs w:val="18"/>
        </w:rPr>
        <w:t xml:space="preserve">      // All videoId values are "PLACEHOLDER" until real IDs are provided</w:t>
      </w:r>
    </w:p>
    <w:p>
      <w:pPr>
        <w:spacing w:after="60" w:before="60"/>
      </w:pPr>
      <w:r>
        <w:rPr>
          <w:rFonts w:ascii="Courier New" w:cs="Courier New" w:eastAsia="Courier New" w:hAnsi="Courier New"/>
          <w:color w:val="5F5E5A"/>
          <w:sz w:val="18"/>
          <w:szCs w:val="18"/>
        </w:rPr>
        <w:t xml:space="preserve">      sections: [ /* copy athlete sections, append "-parent" to each id */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02  COURSE GRID TILE (CoursesPage.tsx)</w:t>
      </w:r>
    </w:p>
    <w:p>
      <w:pPr>
        <w:spacing w:after="80" w:before="80"/>
      </w:pPr>
      <w:r>
        <w:rPr>
          <w:rFonts w:ascii="Arial" w:cs="Arial" w:eastAsia="Arial" w:hAnsi="Arial"/>
          <w:color w:val="2C2C2A"/>
          <w:sz w:val="22"/>
          <w:szCs w:val="22"/>
        </w:rPr>
        <w:t xml:space="preserve">Add the MindSystem tile to the Netflix-style course grid on CoursesPage.tsx. It sits alongside the other 7 section tiles.</w:t>
      </w:r>
    </w:p>
    <w:p>
      <w:pPr>
        <w:spacing w:before="160"/>
      </w:pPr>
    </w:p>
    <w:p>
      <w:pPr>
        <w:spacing w:after="120" w:before="280"/>
      </w:pPr>
      <w:r>
        <w:rPr>
          <w:rFonts w:ascii="Arial" w:cs="Arial" w:eastAsia="Arial" w:hAnsi="Arial"/>
          <w:b/>
          <w:bCs/>
          <w:color w:val="2C2C2A"/>
          <w:sz w:val="28"/>
          <w:szCs w:val="28"/>
        </w:rPr>
        <w:t xml:space="preserve">Tile Design</w:t>
      </w:r>
    </w:p>
    <w:p>
      <w:pPr>
        <w:pStyle w:val="ListParagraph"/>
        <w:numPr>
          <w:ilvl w:val="0"/>
          <w:numId w:val="2"/>
        </w:numPr>
        <w:spacing w:after="60" w:before="60"/>
      </w:pPr>
      <w:r>
        <w:rPr>
          <w:rFonts w:ascii="Arial" w:cs="Arial" w:eastAsia="Arial" w:hAnsi="Arial"/>
          <w:color w:val="2C2C2A"/>
          <w:sz w:val="22"/>
          <w:szCs w:val="22"/>
        </w:rPr>
        <w:t xml:space="preserve">Gradient: #982FF7 → #FF2D78 (violet to pink).</w:t>
      </w:r>
    </w:p>
    <w:p>
      <w:pPr>
        <w:pStyle w:val="ListParagraph"/>
        <w:numPr>
          <w:ilvl w:val="0"/>
          <w:numId w:val="2"/>
        </w:numPr>
        <w:spacing w:after="60" w:before="60"/>
      </w:pPr>
      <w:r>
        <w:rPr>
          <w:rFonts w:ascii="Arial" w:cs="Arial" w:eastAsia="Arial" w:hAnsi="Arial"/>
          <w:color w:val="2C2C2A"/>
          <w:sz w:val="22"/>
          <w:szCs w:val="22"/>
        </w:rPr>
        <w:t xml:space="preserve">Title: "MindSystem" — white, bold, bottom-left of card.</w:t>
      </w:r>
    </w:p>
    <w:p>
      <w:pPr>
        <w:pStyle w:val="ListParagraph"/>
        <w:numPr>
          <w:ilvl w:val="0"/>
          <w:numId w:val="2"/>
        </w:numPr>
        <w:spacing w:after="60" w:before="60"/>
      </w:pPr>
      <w:r>
        <w:rPr>
          <w:rFonts w:ascii="Arial" w:cs="Arial" w:eastAsia="Arial" w:hAnsi="Arial"/>
          <w:color w:val="2C2C2A"/>
          <w:sz w:val="22"/>
          <w:szCs w:val="22"/>
        </w:rPr>
        <w:t xml:space="preserve">For Free and Courtside members: show a lock icon on the card + label "MindSystem Members Only".</w:t>
      </w:r>
    </w:p>
    <w:p>
      <w:pPr>
        <w:pStyle w:val="ListParagraph"/>
        <w:numPr>
          <w:ilvl w:val="0"/>
          <w:numId w:val="2"/>
        </w:numPr>
        <w:spacing w:after="60" w:before="60"/>
      </w:pPr>
      <w:r>
        <w:rPr>
          <w:rFonts w:ascii="Arial" w:cs="Arial" w:eastAsia="Arial" w:hAnsi="Arial"/>
          <w:color w:val="2C2C2A"/>
          <w:sz w:val="22"/>
          <w:szCs w:val="22"/>
        </w:rPr>
        <w:t xml:space="preserve">For Independent, Supported, Inner Circle: card is fully clickable, no lock.</w:t>
      </w:r>
    </w:p>
    <w:p>
      <w:pPr>
        <w:pStyle w:val="ListParagraph"/>
        <w:numPr>
          <w:ilvl w:val="0"/>
          <w:numId w:val="2"/>
        </w:numPr>
        <w:spacing w:after="60" w:before="60"/>
      </w:pPr>
      <w:r>
        <w:rPr>
          <w:rFonts w:ascii="Arial" w:cs="Arial" w:eastAsia="Arial" w:hAnsi="Arial"/>
          <w:color w:val="2C2C2A"/>
          <w:sz w:val="22"/>
          <w:szCs w:val="22"/>
        </w:rPr>
        <w:t xml:space="preserve">Clicking the locked tile for Free/Courtside members triggers the UpgradeModal with this copy:</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Modal Headline</w:t>
            </w:r>
          </w:p>
        </w:tc>
        <w:tc>
          <w:tcPr>
            <w:tcW w:type="dxa" w:w="65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"This is MindSystem territory."</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Modal Body</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"The MindSystem video library is available to MindSystem Independent, Supported, and Inner Circle members. This is where you learn to use your journals and navigate the full MAZE model."</w:t>
            </w:r>
          </w:p>
        </w:tc>
      </w:tr>
      <w:tr>
        <w:tc>
          <w:tcPr>
            <w:tcW w:type="dxa" w:w="28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Primary CTA</w:t>
            </w:r>
          </w:p>
        </w:tc>
        <w:tc>
          <w:tcPr>
            <w:tcW w:type="dxa" w:w="65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"Learn More About MindSystem →" — links to // TODO: GHL MindSystem info page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Secondary CTA</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"Not right now" — closes modal</w:t>
            </w:r>
          </w:p>
        </w:tc>
      </w:tr>
    </w:tbl>
    <w:p>
      <w:pPr>
        <w:spacing w:before="160"/>
      </w:pPr>
    </w:p>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This is a different modal message from the Courtside upgrade modal. Make sure UpgradeModal.tsx accepts a props object for headline, body, and CTA text so it can be reused with different copy for different contexts.</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03  NAVIGATION FLOW — How Members Move Through MindSystem Content</w:t>
      </w:r>
    </w:p>
    <w:p>
      <w:pPr>
        <w:spacing w:after="80" w:before="80"/>
      </w:pPr>
      <w:r>
        <w:rPr>
          <w:rFonts w:ascii="Arial" w:cs="Arial" w:eastAsia="Arial" w:hAnsi="Arial"/>
          <w:color w:val="2C2C2A"/>
          <w:sz w:val="22"/>
          <w:szCs w:val="22"/>
        </w:rPr>
        <w:t xml:space="preserve">The MindSystem tile has a deeper navigation structure than the other 7 sections. Here is the exact click path a member follows: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960"/>
      </w:tblGrid>
      <w:tr>
        <w:tc>
          <w:tcPr>
            <w:tcW w:type="dxa" w:w="800"/>
            <w:tcBorders>
              <w:top w:val="single" w:color="E0E0E0" w:sz="1"/>
              <w:left w:val="single" w:color="E0E0E0" w:sz="1"/>
              <w:bottom w:val="single" w:color="E0E0E0" w:sz="1"/>
              <w:right w:val="single" w:color="E0E0E0" w:sz="1"/>
            </w:tcBorders>
            <w:shd w:fill="982FF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E0E0E0" w:sz="1"/>
              <w:left w:val="single" w:color="E0E0E0" w:sz="1"/>
              <w:bottom w:val="single" w:color="E0E0E0" w:sz="1"/>
              <w:right w:val="single" w:color="E0E0E0" w:sz="1"/>
            </w:tcBorders>
            <w:shd w:fill="982FF7" w:val="clear"/>
            <w:tcMar>
              <w:top w:type="dxa" w:w="80"/>
              <w:left w:type="dxa" w:w="120"/>
              <w:bottom w:type="dxa" w:w="80"/>
              <w:right w:type="dxa" w:w="120"/>
            </w:tcMar>
          </w:tcPr>
          <w:p>
            <w:r>
              <w:rPr>
                <w:rFonts w:ascii="Arial" w:cs="Arial" w:eastAsia="Arial" w:hAnsi="Arial"/>
                <w:b/>
                <w:bCs/>
                <w:color w:val="FFFFFF"/>
                <w:sz w:val="20"/>
                <w:szCs w:val="20"/>
              </w:rPr>
              <w:t xml:space="preserve">What Member Sees</w:t>
            </w:r>
          </w:p>
        </w:tc>
        <w:tc>
          <w:tcPr>
            <w:tcW w:type="dxa" w:w="5960"/>
            <w:tcBorders>
              <w:top w:val="single" w:color="E0E0E0" w:sz="1"/>
              <w:left w:val="single" w:color="E0E0E0" w:sz="1"/>
              <w:bottom w:val="single" w:color="E0E0E0" w:sz="1"/>
              <w:right w:val="single" w:color="E0E0E0" w:sz="1"/>
            </w:tcBorders>
            <w:shd w:fill="982FF7" w:val="clear"/>
            <w:tcMar>
              <w:top w:type="dxa" w:w="80"/>
              <w:left w:type="dxa" w:w="120"/>
              <w:bottom w:type="dxa" w:w="80"/>
              <w:right w:type="dxa" w:w="120"/>
            </w:tcMar>
          </w:tcPr>
          <w:p>
            <w:r>
              <w:rPr>
                <w:rFonts w:ascii="Arial" w:cs="Arial" w:eastAsia="Arial" w:hAnsi="Arial"/>
                <w:b/>
                <w:bCs/>
                <w:color w:val="FFFFFF"/>
                <w:sz w:val="20"/>
                <w:szCs w:val="20"/>
              </w:rPr>
              <w:t xml:space="preserve">Build Notes</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1</w:t>
            </w:r>
          </w:p>
        </w:tc>
        <w:tc>
          <w:tcPr>
            <w:tcW w:type="dxa" w:w="26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Course grid — MindSystem tile</w:t>
            </w:r>
          </w:p>
        </w:tc>
        <w:tc>
          <w:tcPr>
            <w:tcW w:type="dxa" w:w="59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Locked for Free/Courtside. Clickable for MindSystem tiers.</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2</w:t>
            </w:r>
          </w:p>
        </w:tc>
        <w:tc>
          <w:tcPr>
            <w:tcW w:type="dxa" w:w="2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Track selector — 2 tiles: Athlete / Parent</w:t>
            </w:r>
          </w:p>
        </w:tc>
        <w:tc>
          <w:tcPr>
            <w:tcW w:type="dxa" w:w="5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Route: /courses/mindsystem — shows two large cards side by side. Athlete card (violet gradient). Parent card (pink gradient). Both fully accessible to all MindSystem tiers.</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3</w:t>
            </w:r>
          </w:p>
        </w:tc>
        <w:tc>
          <w:tcPr>
            <w:tcW w:type="dxa" w:w="26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Section list — 7 section cards</w:t>
            </w:r>
          </w:p>
        </w:tc>
        <w:tc>
          <w:tcPr>
            <w:tcW w:type="dxa" w:w="59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Route: /courses/mindsystem/athlete or /parent — shows 7 section cards: Onboarding, Bold Commitment, Mindset, Analyze, Zero In, Execute, Reflection.</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4a</w:t>
            </w:r>
          </w:p>
        </w:tc>
        <w:tc>
          <w:tcPr>
            <w:tcW w:type="dxa" w:w="2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Lesson list (standard sections)</w:t>
            </w:r>
          </w:p>
        </w:tc>
        <w:tc>
          <w:tcPr>
            <w:tcW w:type="dxa" w:w="5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Route: /courses/mindsystem/athlete/[section-id] — shows 2 lesson cards: Overview and How to Fill In Your Journal.</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4b</w:t>
            </w:r>
          </w:p>
        </w:tc>
        <w:tc>
          <w:tcPr>
            <w:tcW w:type="dxa" w:w="26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Sub-section list (Execute only)</w:t>
            </w:r>
          </w:p>
        </w:tc>
        <w:tc>
          <w:tcPr>
            <w:tcW w:type="dxa" w:w="59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Route: /courses/mindsystem/athlete/execute — shows 6 sub-section cards: Execution Map, Habit Tracker, Accountability Checklist, Game Time, Practice Time, Check Points.</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5</w:t>
            </w:r>
          </w:p>
        </w:tc>
        <w:tc>
          <w:tcPr>
            <w:tcW w:type="dxa" w:w="26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Sub-section lessons (Execute only)</w:t>
            </w:r>
          </w:p>
        </w:tc>
        <w:tc>
          <w:tcPr>
            <w:tcW w:type="dxa" w:w="59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Route: /courses/mindsystem/athlete/execute/[subsection-id] — shows 2 lesson cards: Overview and How to Fill In Your Journal.</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6</w:t>
            </w:r>
          </w:p>
        </w:tc>
        <w:tc>
          <w:tcPr>
            <w:tcW w:type="dxa" w:w="26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Lesson video</w:t>
            </w:r>
          </w:p>
        </w:tc>
        <w:tc>
          <w:tcPr>
            <w:tcW w:type="dxa" w:w="59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Route: /courses/mindsystem/athlete/[section]/lessons/[id] — YouTube embed + lesson title. No comments section on MindSystem lessons (these are instructional, not discussion-based).</w:t>
            </w:r>
          </w:p>
        </w:tc>
      </w:tr>
    </w:tbl>
    <w:p>
      <w:pPr>
        <w:pBdr>
          <w:bottom w:val="single" w:color="E0E0E0" w:sz="6"/>
        </w:pBdr>
        <w:spacing w:after="240" w:before="240"/>
      </w:pPr>
    </w:p>
    <w:p>
      <w:pPr>
        <w:spacing w:after="160" w:before="440"/>
      </w:pPr>
      <w:r>
        <w:rPr>
          <w:rFonts w:ascii="Arial" w:cs="Arial" w:eastAsia="Arial" w:hAnsi="Arial"/>
          <w:b/>
          <w:bCs/>
          <w:color w:val="982FF7"/>
          <w:sz w:val="38"/>
          <w:szCs w:val="38"/>
        </w:rPr>
        <w:t xml:space="preserve">04  ACCESS GATING — lib/access.ts</w:t>
      </w:r>
    </w:p>
    <w:p>
      <w:pPr>
        <w:spacing w:after="80" w:before="80"/>
      </w:pPr>
      <w:r>
        <w:rPr>
          <w:rFonts w:ascii="Arial" w:cs="Arial" w:eastAsia="Arial" w:hAnsi="Arial"/>
          <w:color w:val="2C2C2A"/>
          <w:sz w:val="22"/>
          <w:szCs w:val="22"/>
        </w:rPr>
        <w:t xml:space="preserve">Update the canAccessSection() function in lib/access.ts to include the MindSystem tile lock logic.</w:t>
      </w:r>
    </w:p>
    <w:p>
      <w:pPr>
        <w:spacing w:before="160"/>
      </w:pPr>
    </w:p>
    <w:p>
      <w:pPr>
        <w:spacing w:after="60" w:before="60"/>
      </w:pPr>
      <w:r>
        <w:rPr>
          <w:rFonts w:ascii="Courier New" w:cs="Courier New" w:eastAsia="Courier New" w:hAnsi="Courier New"/>
          <w:color w:val="5F5E5A"/>
          <w:sz w:val="18"/>
          <w:szCs w:val="18"/>
        </w:rPr>
        <w:t xml:space="preserve">export function canAccessSection(tier: string, courseId: string): boolean {</w:t>
      </w:r>
    </w:p>
    <w:p>
      <w:pPr>
        <w:spacing w:after="60" w:before="60"/>
      </w:pPr>
      <w:r>
        <w:rPr>
          <w:rFonts w:ascii="Courier New" w:cs="Courier New" w:eastAsia="Courier New" w:hAnsi="Courier New"/>
          <w:color w:val="5F5E5A"/>
          <w:sz w:val="18"/>
          <w:szCs w:val="18"/>
        </w:rPr>
        <w:t xml:space="preserve">  // MindSystem tile — only independent, supported, inner-circle</w:t>
      </w:r>
    </w:p>
    <w:p>
      <w:pPr>
        <w:spacing w:after="60" w:before="60"/>
      </w:pPr>
      <w:r>
        <w:rPr>
          <w:rFonts w:ascii="Courier New" w:cs="Courier New" w:eastAsia="Courier New" w:hAnsi="Courier New"/>
          <w:color w:val="5F5E5A"/>
          <w:sz w:val="18"/>
          <w:szCs w:val="18"/>
        </w:rPr>
        <w:t xml:space="preserve">  if (courseId === "mindsystem") {</w:t>
      </w:r>
    </w:p>
    <w:p>
      <w:pPr>
        <w:spacing w:after="60" w:before="60"/>
      </w:pPr>
      <w:r>
        <w:rPr>
          <w:rFonts w:ascii="Courier New" w:cs="Courier New" w:eastAsia="Courier New" w:hAnsi="Courier New"/>
          <w:color w:val="5F5E5A"/>
          <w:sz w:val="18"/>
          <w:szCs w:val="18"/>
        </w:rPr>
        <w:t xml:space="preserve">    return ["independent", "supported", "inner-circle"].includes(tier);</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 Courtside and above — all other sections</w:t>
      </w:r>
    </w:p>
    <w:p>
      <w:pPr>
        <w:spacing w:after="60" w:before="60"/>
      </w:pPr>
      <w:r>
        <w:rPr>
          <w:rFonts w:ascii="Courier New" w:cs="Courier New" w:eastAsia="Courier New" w:hAnsi="Courier New"/>
          <w:color w:val="5F5E5A"/>
          <w:sz w:val="18"/>
          <w:szCs w:val="18"/>
        </w:rPr>
        <w:t xml:space="preserve">  if (["courtside", "independent", "supported", "inner-circle"].includes(tier)) return true;</w:t>
      </w:r>
    </w:p>
    <w:p>
      <w:pPr>
        <w:spacing w:after="60" w:before="60"/>
      </w:pPr>
      <w:r>
        <w:rPr>
          <w:rFonts w:ascii="Courier New" w:cs="Courier New" w:eastAsia="Courier New" w:hAnsi="Courier New"/>
          <w:color w:val="5F5E5A"/>
          <w:sz w:val="18"/>
          <w:szCs w:val="18"/>
        </w:rPr>
        <w:t xml:space="preserve">  // Free tier — video-game-library only</w:t>
      </w:r>
    </w:p>
    <w:p>
      <w:pPr>
        <w:spacing w:after="60" w:before="60"/>
      </w:pPr>
      <w:r>
        <w:rPr>
          <w:rFonts w:ascii="Courier New" w:cs="Courier New" w:eastAsia="Courier New" w:hAnsi="Courier New"/>
          <w:color w:val="5F5E5A"/>
          <w:sz w:val="18"/>
          <w:szCs w:val="18"/>
        </w:rPr>
        <w:t xml:space="preserve">  if (tier === "free") return courseId === "video-game-library";</w:t>
      </w:r>
    </w:p>
    <w:p>
      <w:pPr>
        <w:spacing w:after="60" w:before="60"/>
      </w:pPr>
      <w:r>
        <w:rPr>
          <w:rFonts w:ascii="Courier New" w:cs="Courier New" w:eastAsia="Courier New" w:hAnsi="Courier New"/>
          <w:color w:val="5F5E5A"/>
          <w:sz w:val="18"/>
          <w:szCs w:val="18"/>
        </w:rPr>
        <w:t xml:space="preserve">  return false;</w:t>
      </w:r>
    </w:p>
    <w:p>
      <w:pPr>
        <w:spacing w:after="60" w:before="60"/>
      </w:pPr>
      <w:r>
        <w:rPr>
          <w:rFonts w:ascii="Courier New" w:cs="Courier New" w:eastAsia="Courier New" w:hAnsi="Courier New"/>
          <w:color w:val="5F5E5A"/>
          <w:sz w:val="18"/>
          <w:szCs w:val="18"/>
        </w:rPr>
        <w:t xml:space="preserve">}</w:t>
      </w:r>
    </w:p>
    <w:p>
      <w:pPr>
        <w:spacing w:before="160"/>
      </w:pPr>
    </w:p>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No lesson-level gating is needed inside MindSystem — if a member can access the section, they can access all lessons within it.</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05  WEBHOOK VERIFICATION — Confirm GHL Is Granting MindSystem Access</w:t>
      </w:r>
    </w:p>
    <w:p>
      <w:pPr>
        <w:spacing w:after="80" w:before="80"/>
      </w:pPr>
      <w:r>
        <w:rPr>
          <w:rFonts w:ascii="Arial" w:cs="Arial" w:eastAsia="Arial" w:hAnsi="Arial"/>
          <w:color w:val="2C2C2A"/>
          <w:sz w:val="22"/>
          <w:szCs w:val="22"/>
        </w:rPr>
        <w:t xml:space="preserve">There are three MindSystem webhooks. Each one must correctly write the member's email and tier to the approved_members table in Supabase when a purchase is made in GoHighLevel. This section tells you how to verify all three are working before launch.</w:t>
      </w:r>
    </w:p>
    <w:p>
      <w:pPr>
        <w:spacing w:before="160"/>
      </w:pPr>
    </w:p>
    <w:p>
      <w:pPr>
        <w:spacing w:after="120" w:before="280"/>
      </w:pPr>
      <w:r>
        <w:rPr>
          <w:rFonts w:ascii="Arial" w:cs="Arial" w:eastAsia="Arial" w:hAnsi="Arial"/>
          <w:b/>
          <w:bCs/>
          <w:color w:val="2C2C2A"/>
          <w:sz w:val="28"/>
          <w:szCs w:val="28"/>
        </w:rPr>
        <w:t xml:space="preserve">The Three MindSystem Webhook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MindSystem Independent</w:t>
            </w:r>
          </w:p>
        </w:tc>
        <w:tc>
          <w:tcPr>
            <w:tcW w:type="dxa" w:w="65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/api/webhooks/ghl/independent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MindSystem Supported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/api/webhooks/ghl/supported</w:t>
            </w:r>
          </w:p>
        </w:tc>
      </w:tr>
      <w:tr>
        <w:tc>
          <w:tcPr>
            <w:tcW w:type="dxa" w:w="28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MindSystem Inner Circle</w:t>
            </w:r>
          </w:p>
        </w:tc>
        <w:tc>
          <w:tcPr>
            <w:tcW w:type="dxa" w:w="65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/api/webhooks/ghl/inner-circle</w:t>
            </w:r>
          </w:p>
        </w:tc>
      </w:tr>
    </w:tbl>
    <w:p>
      <w:pPr>
        <w:spacing w:before="160"/>
      </w:pPr>
    </w:p>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Full dev-preview base URL: https://1bfaf5bf-0fe1-43a6-8e1a-61487b4510cb-00-1y42rpa13mujd.worf.replit.dev — update to members.gabbycole.com after Netlify deploy.</w:t>
      </w:r>
    </w:p>
    <w:p>
      <w:pPr>
        <w:spacing w:before="160"/>
      </w:pPr>
    </w:p>
    <w:p>
      <w:pPr>
        <w:spacing w:after="120" w:before="280"/>
      </w:pPr>
      <w:r>
        <w:rPr>
          <w:rFonts w:ascii="Arial" w:cs="Arial" w:eastAsia="Arial" w:hAnsi="Arial"/>
          <w:b/>
          <w:bCs/>
          <w:color w:val="2C2C2A"/>
          <w:sz w:val="28"/>
          <w:szCs w:val="28"/>
        </w:rPr>
        <w:t xml:space="preserve">Step-by-Step Webhook Verification</w:t>
      </w:r>
    </w:p>
    <w:p>
      <w:pPr>
        <w:spacing w:after="80" w:before="80"/>
      </w:pPr>
      <w:r>
        <w:rPr>
          <w:rFonts w:ascii="Arial" w:cs="Arial" w:eastAsia="Arial" w:hAnsi="Arial"/>
          <w:color w:val="2C2C2A"/>
          <w:sz w:val="22"/>
          <w:szCs w:val="22"/>
        </w:rPr>
        <w:t xml:space="preserve">Do this test for each of the three MindSystem webhooks before going live. You can use a free tool called Hoppscotch (hoppscotch.io) or Postman to send a test POST request — both are free and work in the browser.</w:t>
      </w:r>
    </w:p>
    <w:p>
      <w:pPr>
        <w:spacing w:before="160"/>
      </w:pPr>
    </w:p>
    <w:p>
      <w:pPr>
        <w:spacing w:after="80" w:before="200"/>
      </w:pPr>
      <w:r>
        <w:rPr>
          <w:rFonts w:ascii="Arial" w:cs="Arial" w:eastAsia="Arial" w:hAnsi="Arial"/>
          <w:b/>
          <w:bCs/>
          <w:color w:val="5F5E5A"/>
          <w:sz w:val="24"/>
          <w:szCs w:val="24"/>
        </w:rPr>
        <w:t xml:space="preserve">Test 1 — Send a Test POST to the Webhook</w:t>
      </w:r>
    </w:p>
    <w:p>
      <w:pPr>
        <w:pStyle w:val="ListParagraph"/>
        <w:numPr>
          <w:ilvl w:val="0"/>
          <w:numId w:val="2"/>
        </w:numPr>
        <w:spacing w:after="60" w:before="60"/>
      </w:pPr>
      <w:r>
        <w:rPr>
          <w:rFonts w:ascii="Arial" w:cs="Arial" w:eastAsia="Arial" w:hAnsi="Arial"/>
          <w:color w:val="2C2C2A"/>
          <w:sz w:val="22"/>
          <w:szCs w:val="22"/>
        </w:rPr>
        <w:t xml:space="preserve">Open hoppscotch.io in your browser — no account needed.</w:t>
      </w:r>
    </w:p>
    <w:p>
      <w:pPr>
        <w:pStyle w:val="ListParagraph"/>
        <w:numPr>
          <w:ilvl w:val="0"/>
          <w:numId w:val="2"/>
        </w:numPr>
        <w:spacing w:after="60" w:before="60"/>
      </w:pPr>
      <w:r>
        <w:rPr>
          <w:rFonts w:ascii="Arial" w:cs="Arial" w:eastAsia="Arial" w:hAnsi="Arial"/>
          <w:color w:val="2C2C2A"/>
          <w:sz w:val="22"/>
          <w:szCs w:val="22"/>
        </w:rPr>
        <w:t xml:space="preserve">Set method to POST.</w:t>
      </w:r>
    </w:p>
    <w:p>
      <w:pPr>
        <w:pStyle w:val="ListParagraph"/>
        <w:numPr>
          <w:ilvl w:val="0"/>
          <w:numId w:val="2"/>
        </w:numPr>
        <w:spacing w:after="60" w:before="60"/>
      </w:pPr>
      <w:r>
        <w:rPr>
          <w:rFonts w:ascii="Arial" w:cs="Arial" w:eastAsia="Arial" w:hAnsi="Arial"/>
          <w:color w:val="2C2C2A"/>
          <w:sz w:val="22"/>
          <w:szCs w:val="22"/>
        </w:rPr>
        <w:t xml:space="preserve">Set the URL to the full webhook endpoint, e.g.:</w:t>
      </w:r>
    </w:p>
    <w:p>
      <w:pPr>
        <w:pStyle w:val="ListParagraph"/>
        <w:numPr>
          <w:ilvl w:val="0"/>
          <w:numId w:val="2"/>
        </w:numPr>
        <w:spacing w:after="60" w:before="60"/>
      </w:pPr>
      <w:r>
        <w:rPr>
          <w:rFonts w:ascii="Arial" w:cs="Arial" w:eastAsia="Arial" w:hAnsi="Arial"/>
          <w:color w:val="2C2C2A"/>
          <w:sz w:val="22"/>
          <w:szCs w:val="22"/>
        </w:rPr>
        <w:t xml:space="preserve">  https://[your-replit-url]/api/webhooks/ghl/independent</w:t>
      </w:r>
    </w:p>
    <w:p>
      <w:pPr>
        <w:pStyle w:val="ListParagraph"/>
        <w:numPr>
          <w:ilvl w:val="0"/>
          <w:numId w:val="2"/>
        </w:numPr>
        <w:spacing w:after="60" w:before="60"/>
      </w:pPr>
      <w:r>
        <w:rPr>
          <w:rFonts w:ascii="Arial" w:cs="Arial" w:eastAsia="Arial" w:hAnsi="Arial"/>
          <w:color w:val="2C2C2A"/>
          <w:sz w:val="22"/>
          <w:szCs w:val="22"/>
        </w:rPr>
        <w:t xml:space="preserve">Set Headers: Content-Type → application/json</w:t>
      </w:r>
    </w:p>
    <w:p>
      <w:pPr>
        <w:pStyle w:val="ListParagraph"/>
        <w:numPr>
          <w:ilvl w:val="0"/>
          <w:numId w:val="2"/>
        </w:numPr>
        <w:spacing w:after="60" w:before="60"/>
      </w:pPr>
      <w:r>
        <w:rPr>
          <w:rFonts w:ascii="Arial" w:cs="Arial" w:eastAsia="Arial" w:hAnsi="Arial"/>
          <w:color w:val="2C2C2A"/>
          <w:sz w:val="22"/>
          <w:szCs w:val="22"/>
        </w:rPr>
        <w:t xml:space="preserve">Set Body (raw JSON):</w:t>
      </w:r>
    </w:p>
    <w:p>
      <w:pPr>
        <w:spacing w:before="160"/>
      </w:pPr>
    </w:p>
    <w:p>
      <w:pPr>
        <w:spacing w:after="60" w:before="60"/>
      </w:pPr>
      <w:r>
        <w:rPr>
          <w:rFonts w:ascii="Courier New" w:cs="Courier New" w:eastAsia="Courier New" w:hAnsi="Courier New"/>
          <w:color w:val="5F5E5A"/>
          <w:sz w:val="18"/>
          <w:szCs w:val="18"/>
        </w:rPr>
        <w:t xml:space="preserve">{</w:t>
      </w:r>
    </w:p>
    <w:p>
      <w:pPr>
        <w:spacing w:after="60" w:before="60"/>
      </w:pPr>
      <w:r>
        <w:rPr>
          <w:rFonts w:ascii="Courier New" w:cs="Courier New" w:eastAsia="Courier New" w:hAnsi="Courier New"/>
          <w:color w:val="5F5E5A"/>
          <w:sz w:val="18"/>
          <w:szCs w:val="18"/>
        </w:rPr>
        <w:t xml:space="preserve">  "email": "test-independent@example.com",</w:t>
      </w:r>
    </w:p>
    <w:p>
      <w:pPr>
        <w:spacing w:after="60" w:before="60"/>
      </w:pPr>
      <w:r>
        <w:rPr>
          <w:rFonts w:ascii="Courier New" w:cs="Courier New" w:eastAsia="Courier New" w:hAnsi="Courier New"/>
          <w:color w:val="5F5E5A"/>
          <w:sz w:val="18"/>
          <w:szCs w:val="18"/>
        </w:rPr>
        <w:t xml:space="preserve">  "name": "Test Family",</w:t>
      </w:r>
    </w:p>
    <w:p>
      <w:pPr>
        <w:spacing w:after="60" w:before="60"/>
      </w:pPr>
      <w:r>
        <w:rPr>
          <w:rFonts w:ascii="Courier New" w:cs="Courier New" w:eastAsia="Courier New" w:hAnsi="Courier New"/>
          <w:color w:val="5F5E5A"/>
          <w:sz w:val="18"/>
          <w:szCs w:val="18"/>
        </w:rPr>
        <w:t xml:space="preserve">  "tier": "independent"</w:t>
      </w:r>
    </w:p>
    <w:p>
      <w:pPr>
        <w:spacing w:after="60" w:before="60"/>
      </w:pPr>
      <w:r>
        <w:rPr>
          <w:rFonts w:ascii="Courier New" w:cs="Courier New" w:eastAsia="Courier New" w:hAnsi="Courier New"/>
          <w:color w:val="5F5E5A"/>
          <w:sz w:val="18"/>
          <w:szCs w:val="18"/>
        </w:rPr>
        <w:t xml:space="preserve">}</w:t>
      </w:r>
    </w:p>
    <w:p>
      <w:pPr>
        <w:spacing w:before="160"/>
      </w:pPr>
    </w:p>
    <w:p>
      <w:pPr>
        <w:pStyle w:val="ListParagraph"/>
        <w:numPr>
          <w:ilvl w:val="0"/>
          <w:numId w:val="2"/>
        </w:numPr>
        <w:spacing w:after="60" w:before="60"/>
      </w:pPr>
      <w:r>
        <w:rPr>
          <w:rFonts w:ascii="Arial" w:cs="Arial" w:eastAsia="Arial" w:hAnsi="Arial"/>
          <w:color w:val="2C2C2A"/>
          <w:sz w:val="22"/>
          <w:szCs w:val="22"/>
        </w:rPr>
        <w:t xml:space="preserve">Click Send.</w:t>
      </w:r>
    </w:p>
    <w:p>
      <w:pPr>
        <w:pStyle w:val="ListParagraph"/>
        <w:numPr>
          <w:ilvl w:val="0"/>
          <w:numId w:val="2"/>
        </w:numPr>
        <w:spacing w:after="60" w:before="60"/>
      </w:pPr>
      <w:r>
        <w:rPr>
          <w:rFonts w:ascii="Arial" w:cs="Arial" w:eastAsia="Arial" w:hAnsi="Arial"/>
          <w:color w:val="2C2C2A"/>
          <w:sz w:val="22"/>
          <w:szCs w:val="22"/>
        </w:rPr>
        <w:t xml:space="preserve">Expected response: 200 OK</w:t>
      </w:r>
    </w:p>
    <w:p>
      <w:pPr>
        <w:pStyle w:val="ListParagraph"/>
        <w:numPr>
          <w:ilvl w:val="0"/>
          <w:numId w:val="2"/>
        </w:numPr>
        <w:spacing w:after="60" w:before="60"/>
      </w:pPr>
      <w:r>
        <w:rPr>
          <w:rFonts w:ascii="Arial" w:cs="Arial" w:eastAsia="Arial" w:hAnsi="Arial"/>
          <w:color w:val="2C2C2A"/>
          <w:sz w:val="22"/>
          <w:szCs w:val="22"/>
        </w:rPr>
        <w:t xml:space="preserve">If you get a 404 or 500 — the webhook endpoint is not set up correctly. Check the server route file.</w:t>
      </w:r>
    </w:p>
    <w:p>
      <w:pPr>
        <w:spacing w:before="160"/>
      </w:pPr>
    </w:p>
    <w:p>
      <w:pPr>
        <w:spacing w:after="80" w:before="200"/>
      </w:pPr>
      <w:r>
        <w:rPr>
          <w:rFonts w:ascii="Arial" w:cs="Arial" w:eastAsia="Arial" w:hAnsi="Arial"/>
          <w:b/>
          <w:bCs/>
          <w:color w:val="5F5E5A"/>
          <w:sz w:val="24"/>
          <w:szCs w:val="24"/>
        </w:rPr>
        <w:t xml:space="preserve">Test 2 — Verify the Row Appeared in Supabase</w:t>
      </w:r>
    </w:p>
    <w:p>
      <w:pPr>
        <w:pStyle w:val="ListParagraph"/>
        <w:numPr>
          <w:ilvl w:val="0"/>
          <w:numId w:val="2"/>
        </w:numPr>
        <w:spacing w:after="60" w:before="60"/>
      </w:pPr>
      <w:r>
        <w:rPr>
          <w:rFonts w:ascii="Arial" w:cs="Arial" w:eastAsia="Arial" w:hAnsi="Arial"/>
          <w:color w:val="2C2C2A"/>
          <w:sz w:val="22"/>
          <w:szCs w:val="22"/>
        </w:rPr>
        <w:t xml:space="preserve">Go to your Supabase project → Table Editor → approved_members table.</w:t>
      </w:r>
    </w:p>
    <w:p>
      <w:pPr>
        <w:pStyle w:val="ListParagraph"/>
        <w:numPr>
          <w:ilvl w:val="0"/>
          <w:numId w:val="2"/>
        </w:numPr>
        <w:spacing w:after="60" w:before="60"/>
      </w:pPr>
      <w:r>
        <w:rPr>
          <w:rFonts w:ascii="Arial" w:cs="Arial" w:eastAsia="Arial" w:hAnsi="Arial"/>
          <w:color w:val="2C2C2A"/>
          <w:sz w:val="22"/>
          <w:szCs w:val="22"/>
        </w:rPr>
        <w:t xml:space="preserve">You should see a new row with email: test-independent@example.com and tier: independent.</w:t>
      </w:r>
    </w:p>
    <w:p>
      <w:pPr>
        <w:pStyle w:val="ListParagraph"/>
        <w:numPr>
          <w:ilvl w:val="0"/>
          <w:numId w:val="2"/>
        </w:numPr>
        <w:spacing w:after="60" w:before="60"/>
      </w:pPr>
      <w:r>
        <w:rPr>
          <w:rFonts w:ascii="Arial" w:cs="Arial" w:eastAsia="Arial" w:hAnsi="Arial"/>
          <w:color w:val="2C2C2A"/>
          <w:sz w:val="22"/>
          <w:szCs w:val="22"/>
        </w:rPr>
        <w:t xml:space="preserve">If the row is not there — the webhook handler is not writing to Supabase correctly. Check the insert logic in the webhook handler file.</w:t>
      </w:r>
    </w:p>
    <w:p>
      <w:pPr>
        <w:spacing w:before="160"/>
      </w:pPr>
    </w:p>
    <w:p>
      <w:pPr>
        <w:spacing w:after="80" w:before="200"/>
      </w:pPr>
      <w:r>
        <w:rPr>
          <w:rFonts w:ascii="Arial" w:cs="Arial" w:eastAsia="Arial" w:hAnsi="Arial"/>
          <w:b/>
          <w:bCs/>
          <w:color w:val="5F5E5A"/>
          <w:sz w:val="24"/>
          <w:szCs w:val="24"/>
        </w:rPr>
        <w:t xml:space="preserve">Test 3 — Verify Signup Assigns the Correct Tier</w:t>
      </w:r>
    </w:p>
    <w:p>
      <w:pPr>
        <w:pStyle w:val="ListParagraph"/>
        <w:numPr>
          <w:ilvl w:val="0"/>
          <w:numId w:val="2"/>
        </w:numPr>
        <w:spacing w:after="60" w:before="60"/>
      </w:pPr>
      <w:r>
        <w:rPr>
          <w:rFonts w:ascii="Arial" w:cs="Arial" w:eastAsia="Arial" w:hAnsi="Arial"/>
          <w:color w:val="2C2C2A"/>
          <w:sz w:val="22"/>
          <w:szCs w:val="22"/>
        </w:rPr>
        <w:t xml:space="preserve">Go to your portal signup page (/signup).</w:t>
      </w:r>
    </w:p>
    <w:p>
      <w:pPr>
        <w:pStyle w:val="ListParagraph"/>
        <w:numPr>
          <w:ilvl w:val="0"/>
          <w:numId w:val="2"/>
        </w:numPr>
        <w:spacing w:after="60" w:before="60"/>
      </w:pPr>
      <w:r>
        <w:rPr>
          <w:rFonts w:ascii="Arial" w:cs="Arial" w:eastAsia="Arial" w:hAnsi="Arial"/>
          <w:color w:val="2C2C2A"/>
          <w:sz w:val="22"/>
          <w:szCs w:val="22"/>
        </w:rPr>
        <w:t xml:space="preserve">Sign up using the same test email: test-independent@example.com</w:t>
      </w:r>
    </w:p>
    <w:p>
      <w:pPr>
        <w:pStyle w:val="ListParagraph"/>
        <w:numPr>
          <w:ilvl w:val="0"/>
          <w:numId w:val="2"/>
        </w:numPr>
        <w:spacing w:after="60" w:before="60"/>
      </w:pPr>
      <w:r>
        <w:rPr>
          <w:rFonts w:ascii="Arial" w:cs="Arial" w:eastAsia="Arial" w:hAnsi="Arial"/>
          <w:color w:val="2C2C2A"/>
          <w:sz w:val="22"/>
          <w:szCs w:val="22"/>
        </w:rPr>
        <w:t xml:space="preserve">After signup, go to Supabase → Table Editor → families table.</w:t>
      </w:r>
    </w:p>
    <w:p>
      <w:pPr>
        <w:pStyle w:val="ListParagraph"/>
        <w:numPr>
          <w:ilvl w:val="0"/>
          <w:numId w:val="2"/>
        </w:numPr>
        <w:spacing w:after="60" w:before="60"/>
      </w:pPr>
      <w:r>
        <w:rPr>
          <w:rFonts w:ascii="Arial" w:cs="Arial" w:eastAsia="Arial" w:hAnsi="Arial"/>
          <w:color w:val="2C2C2A"/>
          <w:sz w:val="22"/>
          <w:szCs w:val="22"/>
        </w:rPr>
        <w:t xml:space="preserve">Find the row for that email. The tier column should read: independent</w:t>
      </w:r>
    </w:p>
    <w:p>
      <w:pPr>
        <w:pStyle w:val="ListParagraph"/>
        <w:numPr>
          <w:ilvl w:val="0"/>
          <w:numId w:val="2"/>
        </w:numPr>
        <w:spacing w:after="60" w:before="60"/>
      </w:pPr>
      <w:r>
        <w:rPr>
          <w:rFonts w:ascii="Arial" w:cs="Arial" w:eastAsia="Arial" w:hAnsi="Arial"/>
          <w:color w:val="2C2C2A"/>
          <w:sz w:val="22"/>
          <w:szCs w:val="22"/>
        </w:rPr>
        <w:t xml:space="preserve">If tier shows as "free" — the Supabase trigger (handle_new_user) is not reading from approved_members correctly. Re-run the trigger SQL from Build Instructions v3 Section 05.</w:t>
      </w:r>
    </w:p>
    <w:p>
      <w:pPr>
        <w:spacing w:before="160"/>
      </w:pPr>
    </w:p>
    <w:p>
      <w:pPr>
        <w:spacing w:after="80" w:before="200"/>
      </w:pPr>
      <w:r>
        <w:rPr>
          <w:rFonts w:ascii="Arial" w:cs="Arial" w:eastAsia="Arial" w:hAnsi="Arial"/>
          <w:b/>
          <w:bCs/>
          <w:color w:val="5F5E5A"/>
          <w:sz w:val="24"/>
          <w:szCs w:val="24"/>
        </w:rPr>
        <w:t xml:space="preserve">Test 4 — Verify the Correct Dashboard Renders</w:t>
      </w:r>
    </w:p>
    <w:p>
      <w:pPr>
        <w:pStyle w:val="ListParagraph"/>
        <w:numPr>
          <w:ilvl w:val="0"/>
          <w:numId w:val="2"/>
        </w:numPr>
        <w:spacing w:after="60" w:before="60"/>
      </w:pPr>
      <w:r>
        <w:rPr>
          <w:rFonts w:ascii="Arial" w:cs="Arial" w:eastAsia="Arial" w:hAnsi="Arial"/>
          <w:color w:val="2C2C2A"/>
          <w:sz w:val="22"/>
          <w:szCs w:val="22"/>
        </w:rPr>
        <w:t xml:space="preserve">Log in to the portal with the test account.</w:t>
      </w:r>
    </w:p>
    <w:p>
      <w:pPr>
        <w:pStyle w:val="ListParagraph"/>
        <w:numPr>
          <w:ilvl w:val="0"/>
          <w:numId w:val="2"/>
        </w:numPr>
        <w:spacing w:after="60" w:before="60"/>
      </w:pPr>
      <w:r>
        <w:rPr>
          <w:rFonts w:ascii="Arial" w:cs="Arial" w:eastAsia="Arial" w:hAnsi="Arial"/>
          <w:color w:val="2C2C2A"/>
          <w:sz w:val="22"/>
          <w:szCs w:val="22"/>
        </w:rPr>
        <w:t xml:space="preserve">You should land on IndependentDashboard.tsx — not FreeDashboard.</w:t>
      </w:r>
    </w:p>
    <w:p>
      <w:pPr>
        <w:pStyle w:val="ListParagraph"/>
        <w:numPr>
          <w:ilvl w:val="0"/>
          <w:numId w:val="2"/>
        </w:numPr>
        <w:spacing w:after="60" w:before="60"/>
      </w:pPr>
      <w:r>
        <w:rPr>
          <w:rFonts w:ascii="Arial" w:cs="Arial" w:eastAsia="Arial" w:hAnsi="Arial"/>
          <w:color w:val="2C2C2A"/>
          <w:sz w:val="22"/>
          <w:szCs w:val="22"/>
        </w:rPr>
        <w:t xml:space="preserve">Navigate to /courses — the MindSystem tile should be fully clickable (no lock icon).</w:t>
      </w:r>
    </w:p>
    <w:p>
      <w:pPr>
        <w:pStyle w:val="ListParagraph"/>
        <w:numPr>
          <w:ilvl w:val="0"/>
          <w:numId w:val="2"/>
        </w:numPr>
        <w:spacing w:after="60" w:before="60"/>
      </w:pPr>
      <w:r>
        <w:rPr>
          <w:rFonts w:ascii="Arial" w:cs="Arial" w:eastAsia="Arial" w:hAnsi="Arial"/>
          <w:color w:val="2C2C2A"/>
          <w:sz w:val="22"/>
          <w:szCs w:val="22"/>
        </w:rPr>
        <w:t xml:space="preserve">Click into MindSystem — you should see the Athlete / Parent track selector.</w:t>
      </w:r>
    </w:p>
    <w:p>
      <w:pPr>
        <w:pStyle w:val="ListParagraph"/>
        <w:numPr>
          <w:ilvl w:val="0"/>
          <w:numId w:val="2"/>
        </w:numPr>
        <w:spacing w:after="60" w:before="60"/>
      </w:pPr>
      <w:r>
        <w:rPr>
          <w:rFonts w:ascii="Arial" w:cs="Arial" w:eastAsia="Arial" w:hAnsi="Arial"/>
          <w:color w:val="2C2C2A"/>
          <w:sz w:val="22"/>
          <w:szCs w:val="22"/>
        </w:rPr>
        <w:t xml:space="preserve">If the tile is still locked — the canAccessSection() function is not reading the tier correctly. Check lib/access.ts.</w:t>
      </w:r>
    </w:p>
    <w:p>
      <w:pPr>
        <w:spacing w:before="160"/>
      </w:pPr>
    </w:p>
    <w:p>
      <w:pPr>
        <w:spacing w:after="80" w:before="200"/>
      </w:pPr>
      <w:r>
        <w:rPr>
          <w:rFonts w:ascii="Arial" w:cs="Arial" w:eastAsia="Arial" w:hAnsi="Arial"/>
          <w:b/>
          <w:bCs/>
          <w:color w:val="5F5E5A"/>
          <w:sz w:val="24"/>
          <w:szCs w:val="24"/>
        </w:rPr>
        <w:t xml:space="preserve">Repeat for Supported and Inner Circle</w:t>
      </w:r>
    </w:p>
    <w:p>
      <w:pPr>
        <w:pStyle w:val="ListParagraph"/>
        <w:numPr>
          <w:ilvl w:val="0"/>
          <w:numId w:val="2"/>
        </w:numPr>
        <w:spacing w:after="60" w:before="60"/>
      </w:pPr>
      <w:r>
        <w:rPr>
          <w:rFonts w:ascii="Arial" w:cs="Arial" w:eastAsia="Arial" w:hAnsi="Arial"/>
          <w:color w:val="2C2C2A"/>
          <w:sz w:val="22"/>
          <w:szCs w:val="22"/>
        </w:rPr>
        <w:t xml:space="preserve">Repeat Tests 1–4 using:</w:t>
      </w:r>
    </w:p>
    <w:p>
      <w:pPr>
        <w:pStyle w:val="ListParagraph"/>
        <w:numPr>
          <w:ilvl w:val="0"/>
          <w:numId w:val="2"/>
        </w:numPr>
        <w:spacing w:after="60" w:before="60"/>
      </w:pPr>
      <w:r>
        <w:rPr>
          <w:rFonts w:ascii="Arial" w:cs="Arial" w:eastAsia="Arial" w:hAnsi="Arial"/>
          <w:color w:val="2C2C2A"/>
          <w:sz w:val="22"/>
          <w:szCs w:val="22"/>
        </w:rPr>
        <w:t xml:space="preserve">  test-supported@example.com → tier: supported → /api/webhooks/ghl/supported</w:t>
      </w:r>
    </w:p>
    <w:p>
      <w:pPr>
        <w:pStyle w:val="ListParagraph"/>
        <w:numPr>
          <w:ilvl w:val="0"/>
          <w:numId w:val="2"/>
        </w:numPr>
        <w:spacing w:after="60" w:before="60"/>
      </w:pPr>
      <w:r>
        <w:rPr>
          <w:rFonts w:ascii="Arial" w:cs="Arial" w:eastAsia="Arial" w:hAnsi="Arial"/>
          <w:color w:val="2C2C2A"/>
          <w:sz w:val="22"/>
          <w:szCs w:val="22"/>
        </w:rPr>
        <w:t xml:space="preserve">  test-innercircle@example.com → tier: inner-circle → /api/webhooks/ghl/inner-circle</w:t>
      </w:r>
    </w:p>
    <w:p>
      <w:pPr>
        <w:pStyle w:val="ListParagraph"/>
        <w:numPr>
          <w:ilvl w:val="0"/>
          <w:numId w:val="2"/>
        </w:numPr>
        <w:spacing w:after="60" w:before="60"/>
      </w:pPr>
      <w:r>
        <w:rPr>
          <w:rFonts w:ascii="Arial" w:cs="Arial" w:eastAsia="Arial" w:hAnsi="Arial"/>
          <w:color w:val="2C2C2A"/>
          <w:sz w:val="22"/>
          <w:szCs w:val="22"/>
        </w:rPr>
        <w:t xml:space="preserve">Each should land on the correct dashboard and have MindSystem tile unlocked.</w:t>
      </w:r>
    </w:p>
    <w:p>
      <w:pPr>
        <w:spacing w:before="160"/>
      </w:pPr>
    </w:p>
    <w:p>
      <w:pPr>
        <w:spacing w:after="120" w:before="280"/>
      </w:pPr>
      <w:r>
        <w:rPr>
          <w:rFonts w:ascii="Arial" w:cs="Arial" w:eastAsia="Arial" w:hAnsi="Arial"/>
          <w:b/>
          <w:bCs/>
          <w:color w:val="2C2C2A"/>
          <w:sz w:val="28"/>
          <w:szCs w:val="28"/>
        </w:rPr>
        <w:t xml:space="preserve">Webhook Handler — What the Code Should Do</w:t>
      </w:r>
    </w:p>
    <w:p>
      <w:pPr>
        <w:spacing w:after="80" w:before="80"/>
      </w:pPr>
      <w:r>
        <w:rPr>
          <w:rFonts w:ascii="Arial" w:cs="Arial" w:eastAsia="Arial" w:hAnsi="Arial"/>
          <w:color w:val="2C2C2A"/>
          <w:sz w:val="22"/>
          <w:szCs w:val="22"/>
        </w:rPr>
        <w:t xml:space="preserve">If the webhook endpoints are not yet built, here is exactly what each handler needs to do. Add this to your server route file (server/webhooks.ts or equivalent):</w:t>
      </w:r>
    </w:p>
    <w:p>
      <w:pPr>
        <w:spacing w:before="160"/>
      </w:pPr>
    </w:p>
    <w:p>
      <w:pPr>
        <w:spacing w:after="60" w:before="60"/>
      </w:pPr>
      <w:r>
        <w:rPr>
          <w:rFonts w:ascii="Courier New" w:cs="Courier New" w:eastAsia="Courier New" w:hAnsi="Courier New"/>
          <w:color w:val="5F5E5A"/>
          <w:sz w:val="18"/>
          <w:szCs w:val="18"/>
        </w:rPr>
        <w:t xml:space="preserve">// POST /api/webhooks/ghl/independent</w:t>
      </w:r>
    </w:p>
    <w:p>
      <w:pPr>
        <w:spacing w:after="60" w:before="60"/>
      </w:pPr>
      <w:r>
        <w:rPr>
          <w:rFonts w:ascii="Courier New" w:cs="Courier New" w:eastAsia="Courier New" w:hAnsi="Courier New"/>
          <w:color w:val="5F5E5A"/>
          <w:sz w:val="18"/>
          <w:szCs w:val="18"/>
        </w:rPr>
        <w:t xml:space="preserve">// POST /api/webhooks/ghl/supported</w:t>
      </w:r>
    </w:p>
    <w:p>
      <w:pPr>
        <w:spacing w:after="60" w:before="60"/>
      </w:pPr>
      <w:r>
        <w:rPr>
          <w:rFonts w:ascii="Courier New" w:cs="Courier New" w:eastAsia="Courier New" w:hAnsi="Courier New"/>
          <w:color w:val="5F5E5A"/>
          <w:sz w:val="18"/>
          <w:szCs w:val="18"/>
        </w:rPr>
        <w:t xml:space="preserve">// POST /api/webhooks/ghl/inner-circle</w:t>
      </w:r>
    </w:p>
    <w:p>
      <w:pPr>
        <w:spacing w:after="60" w:before="60"/>
      </w:pPr>
      <w:r>
        <w:rPr>
          <w:rFonts w:ascii="Courier New" w:cs="Courier New" w:eastAsia="Courier New" w:hAnsi="Courier New"/>
          <w:color w:val="5F5E5A"/>
          <w:sz w:val="18"/>
          <w:szCs w:val="18"/>
        </w:rPr>
        <w:t xml:space="preserve"/>
      </w:r>
    </w:p>
    <w:p>
      <w:pPr>
        <w:spacing w:after="60" w:before="60"/>
      </w:pPr>
      <w:r>
        <w:rPr>
          <w:rFonts w:ascii="Courier New" w:cs="Courier New" w:eastAsia="Courier New" w:hAnsi="Courier New"/>
          <w:color w:val="5F5E5A"/>
          <w:sz w:val="18"/>
          <w:szCs w:val="18"/>
        </w:rPr>
        <w:t xml:space="preserve">app.post("/api/webhooks/ghl/:tier", async (req, res) =&gt; {</w:t>
      </w:r>
    </w:p>
    <w:p>
      <w:pPr>
        <w:spacing w:after="60" w:before="60"/>
      </w:pPr>
      <w:r>
        <w:rPr>
          <w:rFonts w:ascii="Courier New" w:cs="Courier New" w:eastAsia="Courier New" w:hAnsi="Courier New"/>
          <w:color w:val="5F5E5A"/>
          <w:sz w:val="18"/>
          <w:szCs w:val="18"/>
        </w:rPr>
        <w:t xml:space="preserve">  const { tier } = req.params;</w:t>
      </w:r>
    </w:p>
    <w:p>
      <w:pPr>
        <w:spacing w:after="60" w:before="60"/>
      </w:pPr>
      <w:r>
        <w:rPr>
          <w:rFonts w:ascii="Courier New" w:cs="Courier New" w:eastAsia="Courier New" w:hAnsi="Courier New"/>
          <w:color w:val="5F5E5A"/>
          <w:sz w:val="18"/>
          <w:szCs w:val="18"/>
        </w:rPr>
        <w:t xml:space="preserve">  const { email, name } = req.body;</w:t>
      </w:r>
    </w:p>
    <w:p>
      <w:pPr>
        <w:spacing w:after="60" w:before="60"/>
      </w:pPr>
      <w:r>
        <w:rPr>
          <w:rFonts w:ascii="Courier New" w:cs="Courier New" w:eastAsia="Courier New" w:hAnsi="Courier New"/>
          <w:color w:val="5F5E5A"/>
          <w:sz w:val="18"/>
          <w:szCs w:val="18"/>
        </w:rPr>
        <w:t xml:space="preserve"/>
      </w:r>
    </w:p>
    <w:p>
      <w:pPr>
        <w:spacing w:after="60" w:before="60"/>
      </w:pPr>
      <w:r>
        <w:rPr>
          <w:rFonts w:ascii="Courier New" w:cs="Courier New" w:eastAsia="Courier New" w:hAnsi="Courier New"/>
          <w:color w:val="5F5E5A"/>
          <w:sz w:val="18"/>
          <w:szCs w:val="18"/>
        </w:rPr>
        <w:t xml:space="preserve">  const validTiers = ["independent", "supported", "inner-circle", "courtside"];</w:t>
      </w:r>
    </w:p>
    <w:p>
      <w:pPr>
        <w:spacing w:after="60" w:before="60"/>
      </w:pPr>
      <w:r>
        <w:rPr>
          <w:rFonts w:ascii="Courier New" w:cs="Courier New" w:eastAsia="Courier New" w:hAnsi="Courier New"/>
          <w:color w:val="5F5E5A"/>
          <w:sz w:val="18"/>
          <w:szCs w:val="18"/>
        </w:rPr>
        <w:t xml:space="preserve">  if (!validTiers.includes(tier)) {</w:t>
      </w:r>
    </w:p>
    <w:p>
      <w:pPr>
        <w:spacing w:after="60" w:before="60"/>
      </w:pPr>
      <w:r>
        <w:rPr>
          <w:rFonts w:ascii="Courier New" w:cs="Courier New" w:eastAsia="Courier New" w:hAnsi="Courier New"/>
          <w:color w:val="5F5E5A"/>
          <w:sz w:val="18"/>
          <w:szCs w:val="18"/>
        </w:rPr>
        <w:t xml:space="preserve">    return res.status(400).json({ error: "Invalid tier" });</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
      </w:r>
    </w:p>
    <w:p>
      <w:pPr>
        <w:spacing w:after="60" w:before="60"/>
      </w:pPr>
      <w:r>
        <w:rPr>
          <w:rFonts w:ascii="Courier New" w:cs="Courier New" w:eastAsia="Courier New" w:hAnsi="Courier New"/>
          <w:color w:val="5F5E5A"/>
          <w:sz w:val="18"/>
          <w:szCs w:val="18"/>
        </w:rPr>
        <w:t xml:space="preserve">  const { error } = await supabase</w:t>
      </w:r>
    </w:p>
    <w:p>
      <w:pPr>
        <w:spacing w:after="60" w:before="60"/>
      </w:pPr>
      <w:r>
        <w:rPr>
          <w:rFonts w:ascii="Courier New" w:cs="Courier New" w:eastAsia="Courier New" w:hAnsi="Courier New"/>
          <w:color w:val="5F5E5A"/>
          <w:sz w:val="18"/>
          <w:szCs w:val="18"/>
        </w:rPr>
        <w:t xml:space="preserve">    .from("approved_members")</w:t>
      </w:r>
    </w:p>
    <w:p>
      <w:pPr>
        <w:spacing w:after="60" w:before="60"/>
      </w:pPr>
      <w:r>
        <w:rPr>
          <w:rFonts w:ascii="Courier New" w:cs="Courier New" w:eastAsia="Courier New" w:hAnsi="Courier New"/>
          <w:color w:val="5F5E5A"/>
          <w:sz w:val="18"/>
          <w:szCs w:val="18"/>
        </w:rPr>
        <w:t xml:space="preserve">    .upsert({ email, tier }, { onConflict: "email" });</w:t>
      </w:r>
    </w:p>
    <w:p>
      <w:pPr>
        <w:spacing w:after="60" w:before="60"/>
      </w:pPr>
      <w:r>
        <w:rPr>
          <w:rFonts w:ascii="Courier New" w:cs="Courier New" w:eastAsia="Courier New" w:hAnsi="Courier New"/>
          <w:color w:val="5F5E5A"/>
          <w:sz w:val="18"/>
          <w:szCs w:val="18"/>
        </w:rPr>
        <w:t xml:space="preserve"/>
      </w:r>
    </w:p>
    <w:p>
      <w:pPr>
        <w:spacing w:after="60" w:before="60"/>
      </w:pPr>
      <w:r>
        <w:rPr>
          <w:rFonts w:ascii="Courier New" w:cs="Courier New" w:eastAsia="Courier New" w:hAnsi="Courier New"/>
          <w:color w:val="5F5E5A"/>
          <w:sz w:val="18"/>
          <w:szCs w:val="18"/>
        </w:rPr>
        <w:t xml:space="preserve">  if (error) return res.status(500).json({ error: error.message });</w:t>
      </w:r>
    </w:p>
    <w:p>
      <w:pPr>
        <w:spacing w:after="60" w:before="60"/>
      </w:pPr>
      <w:r>
        <w:rPr>
          <w:rFonts w:ascii="Courier New" w:cs="Courier New" w:eastAsia="Courier New" w:hAnsi="Courier New"/>
          <w:color w:val="5F5E5A"/>
          <w:sz w:val="18"/>
          <w:szCs w:val="18"/>
        </w:rPr>
        <w:t xml:space="preserve">  return res.status(200).json({ success: true });</w:t>
      </w:r>
    </w:p>
    <w:p>
      <w:pPr>
        <w:spacing w:after="60" w:before="60"/>
      </w:pPr>
      <w:r>
        <w:rPr>
          <w:rFonts w:ascii="Courier New" w:cs="Courier New" w:eastAsia="Courier New" w:hAnsi="Courier New"/>
          <w:color w:val="5F5E5A"/>
          <w:sz w:val="18"/>
          <w:szCs w:val="18"/>
        </w:rPr>
        <w:t xml:space="preserve">});</w:t>
      </w:r>
    </w:p>
    <w:p>
      <w:pPr>
        <w:spacing w:before="160"/>
      </w:pPr>
    </w:p>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The upsert with onConflict: "email" means if someone upgrades tiers, their record updates to the new tier automatically instead of creating a duplicate.</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06  BUILD ORDER FOR THIS PHASE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E0E0E0" w:sz="1"/>
              <w:left w:val="single" w:color="E0E0E0" w:sz="1"/>
              <w:bottom w:val="single" w:color="E0E0E0" w:sz="1"/>
              <w:right w:val="single" w:color="E0E0E0" w:sz="1"/>
            </w:tcBorders>
            <w:shd w:fill="982FF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E0E0E0" w:sz="1"/>
              <w:left w:val="single" w:color="E0E0E0" w:sz="1"/>
              <w:bottom w:val="single" w:color="E0E0E0" w:sz="1"/>
              <w:right w:val="single" w:color="E0E0E0" w:sz="1"/>
            </w:tcBorders>
            <w:shd w:fill="982FF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60"/>
            <w:tcBorders>
              <w:top w:val="single" w:color="E0E0E0" w:sz="1"/>
              <w:left w:val="single" w:color="E0E0E0" w:sz="1"/>
              <w:bottom w:val="single" w:color="E0E0E0" w:sz="1"/>
              <w:right w:val="single" w:color="E0E0E0" w:sz="1"/>
            </w:tcBorders>
            <w:shd w:fill="982FF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1</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Add MindSystem to lib/data.ts</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Full structure: both tracks, all 7 sections, Execute sub-sections. All videoIds = "PLACEHOLDER".</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2</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Update lib/access.ts</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Add MindSystem courseId check — independent/supported/inner-circle only.</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3</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Update UpgradeModal.tsx</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Add props for headline, body, and CTA text so modal copy can vary by context.</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4</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Add MindSystem tile to CoursesPage.tsx</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Lock for free/courtside with MindSystem-specific modal copy. Unlock for MindSystem tiers.</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5</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Build Track Selector page</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Route /courses/mindsystem — 2 large cards: Athlete (violet) and Parent (pink).</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6</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Build Section List page</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Route /courses/mindsystem/:track — 7 section cards for each track.</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7</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Build Execute sub-section page</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Route /courses/mindsystem/:track/execute — 6 sub-section cards.</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8</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Build Lesson List pages</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Standard sections: 2 lesson cards. Execute sub-sections: 2 lesson cards each.</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9</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Build Lesson Video page</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YouTube embed only — no comments section on MindSystem lessons.</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10</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Verify webhook — Independent</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POST test via hoppscotch.io → check approved_members → sign up → check families.tier → check tile access.</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11</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Verify webhook — Supported</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Same 4-step test as step 10 using supported tier.</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12</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Verify webhook — Inner Circle</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Same 4-step test as step 10 using inner-circle tier.</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13</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Swap in real YouTube IDs</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Once video IDs are ready, replace all PLACEHOLDER values in lib/data.ts in one pass.</w:t>
            </w:r>
          </w:p>
        </w:tc>
      </w:tr>
    </w:tbl>
    <w:p>
      <w:pPr>
        <w:spacing w:before="160"/>
      </w:pPr>
    </w:p>
    <w:p>
      <w:pPr>
        <w:spacing w:before="160"/>
      </w:pPr>
    </w:p>
    <w:p>
      <w:pPr>
        <w:jc w:val="center"/>
      </w:pPr>
      <w:r>
        <w:rPr>
          <w:rFonts w:ascii="Arial" w:cs="Arial" w:eastAsia="Arial" w:hAnsi="Arial"/>
          <w:i/>
          <w:iCs/>
          <w:color w:val="888780"/>
          <w:sz w:val="20"/>
          <w:szCs w:val="20"/>
        </w:rPr>
        <w:t xml:space="preserve">"The process is the point. The outcome is the byproduct." — Waypoint 4</w:t>
      </w:r>
    </w:p>
    <w:p>
      <w:pPr>
        <w:spacing w:before="80"/>
        <w:jc w:val="center"/>
      </w:pPr>
      <w:r>
        <w:rPr>
          <w:rFonts w:ascii="Arial" w:cs="Arial" w:eastAsia="Arial" w:hAnsi="Arial"/>
          <w:color w:val="888780"/>
          <w:sz w:val="18"/>
          <w:szCs w:val="18"/>
        </w:rPr>
        <w:t xml:space="preserve">MazePerformance Inc. · members.gabbycole.com · MindSystem Tile Build Instructions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2026-04-30T03:02:23.178Z</dcterms:created>
  <dcterms:modified xsi:type="dcterms:W3CDTF">2026-04-30T03:02:23.179Z</dcterms:modified>
</cp:coreProperties>
</file>

<file path=docProps/custom.xml><?xml version="1.0" encoding="utf-8"?>
<Properties xmlns="http://schemas.openxmlformats.org/officeDocument/2006/custom-properties" xmlns:vt="http://schemas.openxmlformats.org/officeDocument/2006/docPropsVTypes"/>
</file>