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9.png" ContentType="image/png"/>
  <Override PartName="/word/media/rId62.png" ContentType="image/png"/>
  <Override PartName="/word/media/rId65.png" ContentType="image/png"/>
  <Override PartName="/word/media/rId50.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concretó,</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una</w:t>
      </w:r>
      <w:r>
        <w:t xml:space="preserve"> </w:t>
      </w:r>
      <w:r>
        <w:t xml:space="preserve">democracia</w:t>
      </w:r>
      <w:r>
        <w:t xml:space="preserve"> </w:t>
      </w:r>
      <w:r>
        <w:t xml:space="preserve">delegativa</w:t>
      </w:r>
      <w:r>
        <w:t xml:space="preserve"> </w:t>
      </w:r>
      <w:r>
        <w:t xml:space="preserve">–</w:t>
      </w:r>
      <w:r>
        <w:t xml:space="preserve"> </w:t>
      </w:r>
      <w:r>
        <w:t xml:space="preserve">Una</w:t>
      </w:r>
      <w:r>
        <w:t xml:space="preserve"> </w:t>
      </w:r>
      <w:r>
        <w:t xml:space="preserve">variante</w:t>
      </w:r>
      <w:r>
        <w:t xml:space="preserve"> </w:t>
      </w:r>
      <w:r>
        <w:t xml:space="preserve">de</w:t>
      </w:r>
      <w:r>
        <w:t xml:space="preserve"> </w:t>
      </w:r>
      <w:r>
        <w:t xml:space="preserve">democracia</w:t>
      </w:r>
      <w:r>
        <w:t xml:space="preserve"> </w:t>
      </w:r>
      <w:r>
        <w:t xml:space="preserve">que</w:t>
      </w:r>
      <w:r>
        <w:t xml:space="preserve"> </w:t>
      </w:r>
      <w:r>
        <w:t xml:space="preserve">se</w:t>
      </w:r>
      <w:r>
        <w:t xml:space="preserve"> </w:t>
      </w:r>
      <w:r>
        <w:t xml:space="preserve">caracteriza</w:t>
      </w:r>
      <w:r>
        <w:t xml:space="preserve"> </w:t>
      </w:r>
      <w:r>
        <w:t xml:space="preserve">por</w:t>
      </w:r>
      <w:r>
        <w:t xml:space="preserve"> </w:t>
      </w:r>
      <w:r>
        <w:t xml:space="preserve">un</w:t>
      </w:r>
      <w:r>
        <w:t xml:space="preserve"> </w:t>
      </w:r>
      <w:r>
        <w:t xml:space="preserve">presidente</w:t>
      </w:r>
      <w:r>
        <w:t xml:space="preserve"> </w:t>
      </w:r>
      <w:r>
        <w:t xml:space="preserve">con</w:t>
      </w:r>
      <w:r>
        <w:t xml:space="preserve"> </w:t>
      </w:r>
      <w:r>
        <w:t xml:space="preserve">un</w:t>
      </w:r>
      <w:r>
        <w:t xml:space="preserve"> </w:t>
      </w:r>
      <w:r>
        <w:t xml:space="preserve">liderazgo</w:t>
      </w:r>
      <w:r>
        <w:t xml:space="preserve"> </w:t>
      </w:r>
      <w:r>
        <w:t xml:space="preserve">fuerte</w:t>
      </w:r>
      <w:r>
        <w:t xml:space="preserve"> </w:t>
      </w:r>
      <w:r>
        <w:t xml:space="preserve">que</w:t>
      </w:r>
      <w:r>
        <w:t xml:space="preserve"> </w:t>
      </w:r>
      <w:r>
        <w:t xml:space="preserve">le</w:t>
      </w:r>
      <w:r>
        <w:t xml:space="preserve"> </w:t>
      </w:r>
      <w:r>
        <w:t xml:space="preserve">permite</w:t>
      </w:r>
      <w:r>
        <w:t xml:space="preserve"> </w:t>
      </w:r>
      <w:r>
        <w:t xml:space="preserve">eludir</w:t>
      </w:r>
      <w:r>
        <w:t xml:space="preserve"> </w:t>
      </w:r>
      <w:r>
        <w:t xml:space="preserve">el</w:t>
      </w:r>
      <w:r>
        <w:t xml:space="preserve"> </w:t>
      </w:r>
      <w:r>
        <w:t xml:space="preserve">control</w:t>
      </w:r>
      <w:r>
        <w:t xml:space="preserve"> </w:t>
      </w:r>
      <w:r>
        <w:t xml:space="preserve">de</w:t>
      </w:r>
      <w:r>
        <w:t xml:space="preserve"> </w:t>
      </w:r>
      <w:r>
        <w:t xml:space="preserve">otras</w:t>
      </w:r>
      <w:r>
        <w:t xml:space="preserve"> </w:t>
      </w:r>
      <w:r>
        <w:t xml:space="preserve">instituciones,</w:t>
      </w:r>
      <w:r>
        <w:t xml:space="preserve"> </w:t>
      </w:r>
      <w:r>
        <w:t xml:space="preserve">bajo</w:t>
      </w:r>
      <w:r>
        <w:t xml:space="preserve"> </w:t>
      </w:r>
      <w:r>
        <w:t xml:space="preserve">la</w:t>
      </w:r>
      <w:r>
        <w:t xml:space="preserve"> </w:t>
      </w:r>
      <w:r>
        <w:t xml:space="preserve">justificación</w:t>
      </w:r>
      <w:r>
        <w:t xml:space="preserve"> </w:t>
      </w:r>
      <w:r>
        <w:t xml:space="preserve">de</w:t>
      </w:r>
      <w:r>
        <w:t xml:space="preserve"> </w:t>
      </w:r>
      <w:r>
        <w:t xml:space="preserve">sanar</w:t>
      </w:r>
      <w:r>
        <w:t xml:space="preserve"> </w:t>
      </w:r>
      <w:r>
        <w:t xml:space="preserve">y</w:t>
      </w:r>
      <w:r>
        <w:t xml:space="preserve"> </w:t>
      </w:r>
      <w:r>
        <w:t xml:space="preserve">unificar</w:t>
      </w:r>
      <w:r>
        <w:t xml:space="preserve"> </w:t>
      </w:r>
      <w:r>
        <w:t xml:space="preserve">la</w:t>
      </w:r>
      <w:r>
        <w:t xml:space="preserve"> </w:t>
      </w:r>
      <w:r>
        <w:t xml:space="preserve">nación</w:t>
      </w:r>
      <w:r>
        <w:t xml:space="preserve"> </w:t>
      </w:r>
      <w:r>
        <w:t xml:space="preserv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lineal,</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democracia,</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Democracia</w:t>
      </w:r>
      <w:r>
        <w:t xml:space="preserve"> </w:t>
      </w:r>
      <w:r>
        <w:t xml:space="preserve">Delegativa</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la democracia delegativa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La transición democrática chilena se consideró tempranamente un éxito, destacándose por su rápida consolidación institucional y económica, especialmente en comparación con procesos similares en otros países de América Latina</w:t>
      </w:r>
      <w:r>
        <w:t xml:space="preserve"> </w:t>
      </w:r>
      <w:r>
        <w:t xml:space="preserve">(</w:t>
      </w:r>
      <w:hyperlink w:anchor="ref-odonnell1994">
        <w:r>
          <w:rPr>
            <w:rStyle w:val="Hipervnculo"/>
          </w:rPr>
          <w:t xml:space="preserve">O’Donnell, 1994</w:t>
        </w:r>
      </w:hyperlink>
      <w:r>
        <w:t xml:space="preserve">)</w:t>
      </w:r>
      <w:r>
        <w:t xml:space="preserve">. En contraste, en el resto de la región se observaron dificultades en la consolidación de los nuevos regímenes, las cuales Guillermo O’Donnell</w:t>
      </w:r>
      <w:r>
        <w:t xml:space="preserve"> </w:t>
      </w:r>
      <w:r>
        <w:t xml:space="preserve">(</w:t>
      </w:r>
      <w:hyperlink w:anchor="ref-odonnell1994">
        <w:r>
          <w:rPr>
            <w:rStyle w:val="Hipervnculo"/>
          </w:rPr>
          <w:t xml:space="preserve">1994</w:t>
        </w:r>
      </w:hyperlink>
      <w:r>
        <w:t xml:space="preserve">)</w:t>
      </w:r>
      <w:r>
        <w:t xml:space="preserve"> </w:t>
      </w:r>
      <w:r>
        <w:t xml:space="preserve">describió bajo el concepto de</w:t>
      </w:r>
      <w:r>
        <w:t xml:space="preserve"> </w:t>
      </w:r>
      <w:r>
        <w:rPr>
          <w:iCs/>
          <w:i/>
        </w:rPr>
        <w:t xml:space="preserve">democracia delegativa</w:t>
      </w:r>
      <w:r>
        <w:t xml:space="preserve">. Esta variante de democracia se caracteriza por un presidente con un liderazgo fuerte que le permite eludir el control de otras instituciones, bajo la justificación de sanar y unificar la nación</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Si bien esta descripción no coincide con la realidad chilena</w:t>
      </w:r>
      <w:r>
        <w:t xml:space="preserve"> </w:t>
      </w:r>
      <w:r>
        <w:t xml:space="preserve">(</w:t>
      </w:r>
      <w:hyperlink w:anchor="ref-odonnell1994">
        <w:r>
          <w:rPr>
            <w:rStyle w:val="Hipervnculo"/>
          </w:rPr>
          <w:t xml:space="preserve">O’Donnell, 1994</w:t>
        </w:r>
      </w:hyperlink>
      <w:r>
        <w:t xml:space="preserve">)</w:t>
      </w:r>
      <w:r>
        <w:t xml:space="preserve">, es importante considerar diversos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w:t>
      </w:r>
    </w:p>
    <w:p>
      <w:pPr>
        <w:pStyle w:val="Textoindependiente"/>
      </w:pPr>
      <w:r>
        <w:t xml:space="preserve">En visto de todo lo planteado, se propone como pregunta de investigación la siguiente:</w:t>
      </w:r>
      <w:r>
        <w:t xml:space="preserve"> </w:t>
      </w:r>
      <w:r>
        <w:rPr>
          <w:bCs/>
          <w:b/>
        </w:rPr>
        <w:t xml:space="preserve">¿Cuál es la relación entre el apoyo a una democracia delegativa y los distintos perfiles de individualismo en la sociedad chilena?</w:t>
      </w:r>
      <w:r>
        <w:t xml:space="preserve">.</w:t>
      </w:r>
    </w:p>
    <w:p>
      <w:pPr>
        <w:pStyle w:val="Textoindependiente"/>
      </w:pPr>
      <w:r>
        <w:t xml:space="preserve">Lo que se traduce al objetivo general de</w:t>
      </w:r>
      <w:r>
        <w:t xml:space="preserve"> </w:t>
      </w:r>
      <w:r>
        <w:rPr>
          <w:bCs/>
          <w:b/>
        </w:rPr>
        <w:t xml:space="preserve">Establecer la relación entre el apoyo a una democracia delegativa y los distintos perfiles de individualismo en la sociedad chilena</w:t>
      </w:r>
      <w:r>
        <w:t xml:space="preserve">. A su vez, de aquí se desprenden los siguientes objetivos específicos:</w:t>
      </w:r>
    </w:p>
    <w:p>
      <w:pPr>
        <w:numPr>
          <w:ilvl w:val="0"/>
          <w:numId w:val="1001"/>
        </w:numPr>
        <w:pStyle w:val="Compact"/>
      </w:pPr>
      <w:r>
        <w:t xml:space="preserve">Describir el nivel de apoyo a una democracia delegativa en la sociedad chilena</w:t>
      </w:r>
    </w:p>
    <w:p>
      <w:pPr>
        <w:numPr>
          <w:ilvl w:val="0"/>
          <w:numId w:val="1001"/>
        </w:numPr>
        <w:pStyle w:val="Compact"/>
      </w:pPr>
      <w:r>
        <w:t xml:space="preserve">Identificar los perfiles de individualismo presentes en la sociedad chilena</w:t>
      </w:r>
    </w:p>
    <w:p>
      <w:pPr>
        <w:numPr>
          <w:ilvl w:val="0"/>
          <w:numId w:val="1001"/>
        </w:numPr>
        <w:pStyle w:val="Compact"/>
      </w:pPr>
      <w:r>
        <w:t xml:space="preserve">Relacionar las variantes de individualismo con el apoyo a una democracia delegativa en la sociedad chilena</w:t>
      </w:r>
    </w:p>
    <w:p>
      <w:pPr>
        <w:pStyle w:val="FirstParagraph"/>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la democracia delegativa.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31" w:name="marco-teórico"/>
    <w:p>
      <w:pPr>
        <w:pStyle w:val="Ttulo1"/>
      </w:pPr>
      <w:r>
        <w:rPr>
          <w:rStyle w:val="SectionNumber"/>
        </w:rPr>
        <w:t xml:space="preserve">2</w:t>
      </w:r>
      <w:r>
        <w:tab/>
      </w:r>
      <w:r>
        <w:t xml:space="preserve">Marco Teórico</w:t>
      </w:r>
    </w:p>
    <w:bookmarkStart w:id="21" w:name="democracia-delegativa"/>
    <w:p>
      <w:pPr>
        <w:pStyle w:val="Ttulo2"/>
      </w:pPr>
      <w:r>
        <w:rPr>
          <w:rStyle w:val="SectionNumber"/>
        </w:rPr>
        <w:t xml:space="preserve">2.1</w:t>
      </w:r>
      <w:r>
        <w:tab/>
      </w:r>
      <w:r>
        <w:t xml:space="preserve">Democracia delegativa</w:t>
      </w:r>
    </w:p>
    <w:p>
      <w:pPr>
        <w:pStyle w:val="FirstParagraph"/>
      </w:pPr>
      <w:r>
        <w:t xml:space="preserve">El concepto de democracia delegativa fue acuñado por el politólogo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w:t>
      </w:r>
      <w:r>
        <w:t xml:space="preserve"> </w:t>
      </w:r>
      <w:r>
        <w:t xml:space="preserve">(</w:t>
      </w:r>
      <w:hyperlink w:anchor="ref-diaz2023">
        <w:r>
          <w:rPr>
            <w:rStyle w:val="Hipervnculo"/>
          </w:rPr>
          <w:t xml:space="preserve">Díaz et al., 2023</w:t>
        </w:r>
      </w:hyperlink>
      <w:r>
        <w:t xml:space="preserve">;</w:t>
      </w:r>
      <w:r>
        <w:t xml:space="preserve"> </w:t>
      </w:r>
      <w:hyperlink w:anchor="ref-peruzzotti2008">
        <w:r>
          <w:rPr>
            <w:rStyle w:val="Hipervnculo"/>
          </w:rPr>
          <w:t xml:space="preserve">Peruzzotti, 2008</w:t>
        </w:r>
      </w:hyperlink>
      <w:r>
        <w:t xml:space="preserve">)</w:t>
      </w:r>
      <w:r>
        <w:t xml:space="preserve">. En cambio, la democracia delegativa debe entenderse como una forma de ejercer el poder en contextos democráticos donde prevalece la rendición de cuentas vertical sobre la horizontal</w:t>
      </w:r>
      <w:r>
        <w:t xml:space="preserve"> </w:t>
      </w:r>
      <w:r>
        <w:t xml:space="preserve">(</w:t>
      </w:r>
      <w:hyperlink w:anchor="ref-toppi2018">
        <w:r>
          <w:rPr>
            <w:rStyle w:val="Hipervnculo"/>
          </w:rPr>
          <w:t xml:space="preserve">Toppi, 2018</w:t>
        </w:r>
      </w:hyperlink>
      <w:r>
        <w:t xml:space="preserve">)</w:t>
      </w:r>
      <w:r>
        <w:t xml:space="preserve">.</w:t>
      </w:r>
    </w:p>
    <w:p>
      <w:pPr>
        <w:pStyle w:val="Textoindependiente"/>
      </w:pPr>
      <w:r>
        <w:t xml:space="preserve">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w:t>
      </w:r>
      <w:r>
        <w:t xml:space="preserve"> </w:t>
      </w:r>
      <w:r>
        <w:t xml:space="preserve">(</w:t>
      </w:r>
      <w:hyperlink w:anchor="ref-odonnell1994">
        <w:r>
          <w:rPr>
            <w:rStyle w:val="Hipervnculo"/>
          </w:rPr>
          <w:t xml:space="preserve">O’Donnell, 1994</w:t>
        </w:r>
      </w:hyperlink>
      <w:r>
        <w:t xml:space="preserve">)</w:t>
      </w:r>
      <w:r>
        <w:t xml:space="preserve">. De tal modo, en una democracia delegativa, el líder debe tomar decisiones y cumplir sus promesas de forma eficaz, sin estar sujeto a controles institucionales</w:t>
      </w:r>
      <w:r>
        <w:t xml:space="preserve"> </w:t>
      </w:r>
      <w:r>
        <w:t xml:space="preserve">(</w:t>
      </w:r>
      <w:hyperlink w:anchor="ref-toppi2018">
        <w:r>
          <w:rPr>
            <w:rStyle w:val="Hipervnculo"/>
          </w:rPr>
          <w:t xml:space="preserve">Toppi, 2018</w:t>
        </w:r>
      </w:hyperlink>
      <w:r>
        <w:t xml:space="preserve">)</w:t>
      </w:r>
      <w:r>
        <w:t xml:space="preserve">. Mientras que una democracia representativa cuenta con ambas formas de rendición de cuentas, en una democracia delegativa los controles verticales cobran mayor importancia que los horizontales.</w:t>
      </w:r>
    </w:p>
    <w:p>
      <w:pPr>
        <w:pStyle w:val="Textoindependiente"/>
      </w:pPr>
      <w:r>
        <w:t xml:space="preserve">A pesar de que Chile normalmente no es considerado como una democracia delegativa, dada la fortaleza de sus instituciones democráticas tras el fin de la Dictadura</w:t>
      </w:r>
      <w:r>
        <w:t xml:space="preserve"> </w:t>
      </w:r>
      <w:r>
        <w:t xml:space="preserve">(</w:t>
      </w:r>
      <w:hyperlink w:anchor="ref-carlin2018">
        <w:r>
          <w:rPr>
            <w:rStyle w:val="Hipervnculo"/>
          </w:rPr>
          <w:t xml:space="preserve">Carlin, 2018</w:t>
        </w:r>
      </w:hyperlink>
      <w:r>
        <w:t xml:space="preserve">;</w:t>
      </w:r>
      <w:r>
        <w:t xml:space="preserve"> </w:t>
      </w:r>
      <w:hyperlink w:anchor="ref-odonnell1994">
        <w:r>
          <w:rPr>
            <w:rStyle w:val="Hipervnculo"/>
          </w:rPr>
          <w:t xml:space="preserve">O’Donnell, 1994</w:t>
        </w:r>
      </w:hyperlink>
      <w:r>
        <w:t xml:space="preserve">)</w:t>
      </w:r>
      <w:r>
        <w:t xml:space="preserve">, existe evidencia que sugiere que una parte de la población muestra preferencia por esta variedad de democracia</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Según Carlin</w:t>
      </w:r>
      <w:r>
        <w:t xml:space="preserve"> </w:t>
      </w:r>
      <w:r>
        <w:t xml:space="preserve">(</w:t>
      </w:r>
      <w:hyperlink w:anchor="ref-carlin2018">
        <w:r>
          <w:rPr>
            <w:rStyle w:val="Hipervnculo"/>
          </w:rPr>
          <w:t xml:space="preserve">2018</w:t>
        </w:r>
      </w:hyperlink>
      <w:r>
        <w:t xml:space="preserve">)</w:t>
      </w:r>
      <w:r>
        <w:t xml:space="preserve">, las personas que apoyan una democracia delegativa en Chile se caracterizan por apoyar a líderes fuertes que unan al país y lo guíen en tiempos de crisis, mostrar orientaciones no-liberales (</w:t>
      </w:r>
      <w:r>
        <w:rPr>
          <w:iCs/>
          <w:i/>
        </w:rPr>
        <w:t xml:space="preserve">iliberals</w:t>
      </w:r>
      <w:r>
        <w:t xml:space="preserve">) hacia los derechos políticos y falta de compromiso hacia los derechos humanos. Sin embargo, este perfil sigue prefiriendo la democracia sobre otras formas de gobierno.</w:t>
      </w:r>
    </w:p>
    <w:p>
      <w:pPr>
        <w:pStyle w:val="Textoindependiente"/>
      </w:pPr>
      <w:r>
        <w:t xml:space="preserve">Los liderazgos fuertes, de esta manera, se constituyen como una caracteristica fundamental de las democracias delegativas. Subyace aquí la idea de una nación concebida como un ser orgánico. El Presidente o el líder se transforma, por lo tanto, en una especie de cabeza del Leviatán, cuya función es</w:t>
      </w:r>
      <w:r>
        <w:t xml:space="preserve"> </w:t>
      </w:r>
      <w:r>
        <w:t xml:space="preserve">“</w:t>
      </w:r>
      <w:r>
        <w:t xml:space="preserve">sanar la nación uniendo sus fragmentos dispersos en un todo armonioso</w:t>
      </w:r>
      <w:r>
        <w:t xml:space="preserve">”</w:t>
      </w:r>
      <w:r>
        <w:t xml:space="preserve"> </w:t>
      </w:r>
      <w:r>
        <w:t xml:space="preserve">(</w:t>
      </w:r>
      <w:hyperlink w:anchor="ref-odonnell1994">
        <w:r>
          <w:rPr>
            <w:rStyle w:val="Hipervnculo"/>
          </w:rPr>
          <w:t xml:space="preserve">O’Donnell, 1994, p. 60</w:t>
        </w:r>
      </w:hyperlink>
      <w:r>
        <w:t xml:space="preserve">)</w:t>
      </w:r>
      <w:r>
        <w:t xml:space="preserve">.</w:t>
      </w:r>
    </w:p>
    <w:p>
      <w:pPr>
        <w:pStyle w:val="Textoindependiente"/>
      </w:pPr>
      <w:r>
        <w:t xml:space="preserve">De lo anterior, se desprende un segunda característica esencial de esta variante de democracia. El líder, para cumplir su cometido, debe saber combinar elementos emocionales y carismáticos con otros altamente técnicos, precisamente bajo la justificación de</w:t>
      </w:r>
      <w:r>
        <w:t xml:space="preserve"> </w:t>
      </w:r>
      <w:r>
        <w:t xml:space="preserve">“</w:t>
      </w:r>
      <w:r>
        <w:t xml:space="preserve">sanar</w:t>
      </w:r>
      <w:r>
        <w:t xml:space="preserve">”</w:t>
      </w:r>
      <w:r>
        <w:t xml:space="preserve"> </w:t>
      </w:r>
      <w:r>
        <w:t xml:space="preserve">a la nación</w:t>
      </w:r>
      <w:r>
        <w:t xml:space="preserve"> </w:t>
      </w:r>
      <w:r>
        <w:t xml:space="preserve">(</w:t>
      </w:r>
      <w:hyperlink w:anchor="ref-odonnell1994">
        <w:r>
          <w:rPr>
            <w:rStyle w:val="Hipervnculo"/>
          </w:rPr>
          <w:t xml:space="preserve">O’Donnell, 1994</w:t>
        </w:r>
      </w:hyperlink>
      <w:r>
        <w:t xml:space="preserve">)</w:t>
      </w:r>
      <w:r>
        <w:t xml:space="preserve">. Esta impronta tecnocrática mezclada con elementos emocionales no es del todo desconocida en Chile, como se observa en el tipo ideal portaliano</w:t>
      </w:r>
      <w:r>
        <w:t xml:space="preserve"> </w:t>
      </w:r>
      <w:r>
        <w:t xml:space="preserve">(</w:t>
      </w:r>
      <w:hyperlink w:anchor="ref-araujo2013">
        <w:r>
          <w:rPr>
            <w:rStyle w:val="Hipervnculo"/>
          </w:rPr>
          <w:t xml:space="preserve">Araujo &amp; Beyer, 2013</w:t>
        </w:r>
      </w:hyperlink>
      <w:r>
        <w:t xml:space="preserve">)</w:t>
      </w:r>
      <w:r>
        <w:t xml:space="preserve">, una forma sociohistórica de ejercicio de la autoridad en el país. Por otro lado, podría también recordar a la discusión sobre el surgimiento de actitudes tecnocráticas y tecnopopulistas en países europeos y su relación, muchas veces contradictoria, con la democracia</w:t>
      </w:r>
      <w:r>
        <w:t xml:space="preserve"> </w:t>
      </w:r>
      <w:r>
        <w:t xml:space="preserve">(</w:t>
      </w:r>
      <w:hyperlink w:anchor="ref-chiru2022">
        <w:r>
          <w:rPr>
            <w:rStyle w:val="Hipervnculo"/>
          </w:rPr>
          <w:t xml:space="preserve">Chiru &amp; Enyedi, 2022</w:t>
        </w:r>
      </w:hyperlink>
      <w:r>
        <w:t xml:space="preserve">;</w:t>
      </w:r>
      <w:r>
        <w:t xml:space="preserve"> </w:t>
      </w:r>
      <w:hyperlink w:anchor="ref-ganuza2020">
        <w:r>
          <w:rPr>
            <w:rStyle w:val="Hipervnculo"/>
          </w:rPr>
          <w:t xml:space="preserve">Ganuza &amp; Font, 2020</w:t>
        </w:r>
      </w:hyperlink>
      <w:r>
        <w:t xml:space="preserve">;</w:t>
      </w:r>
      <w:r>
        <w:t xml:space="preserve"> </w:t>
      </w:r>
      <w:hyperlink w:anchor="ref-pilet2023">
        <w:r>
          <w:rPr>
            <w:rStyle w:val="Hipervnculo"/>
          </w:rPr>
          <w:t xml:space="preserve">Pilet et al., 2023</w:t>
        </w:r>
      </w:hyperlink>
      <w:r>
        <w:t xml:space="preserve">)</w:t>
      </w:r>
      <w:r>
        <w:t xml:space="preserve">.</w:t>
      </w:r>
    </w:p>
    <w:p>
      <w:pPr>
        <w:pStyle w:val="Textoindependiente"/>
      </w:pPr>
      <w:r>
        <w:t xml:space="preserve">Por lo tanto, se entenderá que el respaldo a la democracia delegativa implica el apoyo a líderes fuertes que tengan la capacidad para satisfacer eficazmente las demandas ciudadanas, incluso si esto conlleva pasar por encima de otras instancias de control institucional, combinando elementos carismáticos con enfoques altamente tecnocráticos.</w:t>
      </w:r>
    </w:p>
    <w:p>
      <w:pPr>
        <w:pStyle w:val="Textoindependiente"/>
      </w:pPr>
      <w:r>
        <w:t xml:space="preserve">O’Donnell</w:t>
      </w:r>
      <w:r>
        <w:t xml:space="preserve"> </w:t>
      </w:r>
      <w:r>
        <w:t xml:space="preserve">(</w:t>
      </w:r>
      <w:hyperlink w:anchor="ref-odonnell1994">
        <w:r>
          <w:rPr>
            <w:rStyle w:val="Hipervnculo"/>
          </w:rPr>
          <w:t xml:space="preserve">1994</w:t>
        </w:r>
      </w:hyperlink>
      <w:r>
        <w:t xml:space="preserve">)</w:t>
      </w:r>
      <w:r>
        <w:t xml:space="preserve"> </w:t>
      </w:r>
      <w:r>
        <w:t xml:space="preserve">argumenta que a la democracia delegativa subayace un individualismo extremo, donde los ciudadanos deben actuar de manera independiente de sus identidades y afiliaciones para elegir al</w:t>
      </w:r>
      <w:r>
        <w:t xml:space="preserve"> </w:t>
      </w:r>
      <w:r>
        <w:rPr>
          <w:iCs/>
          <w:i/>
        </w:rPr>
        <w:t xml:space="preserve">individuo</w:t>
      </w:r>
      <w:r>
        <w:t xml:space="preserve"> </w:t>
      </w:r>
      <w:r>
        <w:t xml:space="preserve">más adecuado para asumir la responsabilidad de la nación. Esta idea puede parecer contradictoria con la noción que ha sido aceptada, desde Tocqueville en adelante, de un estrecho vínculo entre el individualismo y las variantes más liberales y representativas de democracia. Al fin y al cabo, la democracia liberal se basa en la libre asociación de individuos soberanos capaces de otorgar legitimidad al orden social</w:t>
      </w:r>
      <w:r>
        <w:t xml:space="preserve"> </w:t>
      </w:r>
      <w:r>
        <w:t xml:space="preserve">(</w:t>
      </w:r>
      <w:hyperlink w:anchor="ref-martuccelli2010">
        <w:r>
          <w:rPr>
            <w:rStyle w:val="Hipervnculo"/>
          </w:rPr>
          <w:t xml:space="preserve">Martuccelli, 2010</w:t>
        </w:r>
      </w:hyperlink>
      <w:r>
        <w:t xml:space="preserve">)</w:t>
      </w:r>
      <w:r>
        <w:t xml:space="preserve">. Si a esta contradicción se le añade la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Frente a lo anterior, y con el objetivo de explorar posibles divergencias en la asociación entre los dos fenómenos principales abordados en esta investigación, la siguiente sección se enfocará en una revisión crítica de la conceptualización que, desde la psicología cultural, se ha realizado sobre individualismo y colectivismo. Tras eso, se presentará la propuesta teórica que se asumirá en la investigación, la que se encuentra fundamentada en la teoría de la individualización y en la sociología del individuo.</w:t>
      </w:r>
    </w:p>
    <w:bookmarkEnd w:id="21"/>
    <w:bookmarkStart w:id="30" w:name="individualismo"/>
    <w:p>
      <w:pPr>
        <w:pStyle w:val="Ttulo2"/>
      </w:pPr>
      <w:r>
        <w:rPr>
          <w:rStyle w:val="SectionNumber"/>
        </w:rPr>
        <w:t xml:space="preserve">2.2</w:t>
      </w:r>
      <w:r>
        <w:tab/>
      </w:r>
      <w:r>
        <w:t xml:space="preserve">Individualismo</w:t>
      </w:r>
    </w:p>
    <w:bookmarkStart w:id="23" w:name="X255235f27d922c034203b51e105bc69e4c38c37"/>
    <w:p>
      <w:pPr>
        <w:pStyle w:val="Ttulo3"/>
      </w:pPr>
      <w:r>
        <w:t xml:space="preserve">Individualismo-Colectivismo desde la psicología cultural</w:t>
      </w:r>
    </w:p>
    <w:p>
      <w:pPr>
        <w:pStyle w:val="FirstParagraph"/>
      </w:pPr>
      <w:r>
        <w:t xml:space="preserve">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pPr>
        <w:pStyle w:val="Textoindependiente"/>
      </w:pPr>
      <w:r>
        <w:t xml:space="preserve">Para Hofstede, individualismo y colectivismo representan los polos opuestos de un continuo unidimensional que permite distinguir entre culturas individualistas y culturas colectivistas</w:t>
      </w:r>
      <w:r>
        <w:t xml:space="preserve"> </w:t>
      </w:r>
      <w:r>
        <w:t xml:space="preserve">(</w:t>
      </w:r>
      <w:hyperlink w:anchor="ref-yoon2010">
        <w:r>
          <w:rPr>
            <w:rStyle w:val="Hipervnculo"/>
          </w:rPr>
          <w:t xml:space="preserve">Yoon, 2010</w:t>
        </w:r>
      </w:hyperlink>
      <w:r>
        <w:t xml:space="preserve">)</w:t>
      </w:r>
      <w:r>
        <w:t xml:space="preserve">.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pPr>
        <w:pStyle w:val="Textoindependiente"/>
      </w:pPr>
      <w:r>
        <w:t xml:space="preserve">Frente a esto, se han realizado esfuerzos para desarrollar conceptualizaciones alternativas, siendo una de las más populares la del</w:t>
      </w:r>
      <w:r>
        <w:t xml:space="preserve"> </w:t>
      </w:r>
      <w:r>
        <w:rPr>
          <w:iCs/>
          <w:i/>
        </w:rPr>
        <w:t xml:space="preserve">self-construal</w:t>
      </w:r>
      <w:r>
        <w:t xml:space="preserve"> </w:t>
      </w:r>
      <w:r>
        <w:t xml:space="preserve">(</w:t>
      </w:r>
      <w:hyperlink w:anchor="ref-cross2011">
        <w:r>
          <w:rPr>
            <w:rStyle w:val="Hipervnculo"/>
          </w:rPr>
          <w:t xml:space="preserve">Cross et al., 2011</w:t>
        </w:r>
      </w:hyperlink>
      <w:r>
        <w:t xml:space="preserve">)</w:t>
      </w:r>
      <w:r>
        <w:t xml:space="preserve">.</w:t>
      </w:r>
      <w:r>
        <w:t xml:space="preserve"> </w:t>
      </w:r>
      <w:r>
        <w:rPr>
          <w:iCs/>
          <w:i/>
        </w:rPr>
        <w:t xml:space="preserve">Self-construal</w:t>
      </w:r>
      <w: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w:t>
      </w:r>
      <w:r>
        <w:t xml:space="preserve"> </w:t>
      </w:r>
      <w:r>
        <w:rPr>
          <w:iCs/>
          <w:i/>
        </w:rPr>
        <w:t xml:space="preserve">self-construal</w:t>
      </w:r>
      <w:r>
        <w:t xml:space="preserve"> </w:t>
      </w:r>
      <w:r>
        <w:t xml:space="preserve">y el individualismo-colectivismo son fenómenos distintos, su operacionalizaciones a menudo se superponen</w:t>
      </w:r>
      <w:r>
        <w:t xml:space="preserve"> </w:t>
      </w:r>
      <w:r>
        <w:t xml:space="preserve">(</w:t>
      </w:r>
      <w:hyperlink w:anchor="ref-cross2011">
        <w:r>
          <w:rPr>
            <w:rStyle w:val="Hipervnculo"/>
          </w:rPr>
          <w:t xml:space="preserve">Cross et al., 2011</w:t>
        </w:r>
      </w:hyperlink>
      <w:r>
        <w:t xml:space="preserve">)</w:t>
      </w:r>
      <w:r>
        <w:t xml:space="preserve">. Además, persiste una interpretación más o menos explícita que relaciona concepciones independientes con culturas individualistas</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Por otro lado, el uso de individualismo-colectivismo ha sido criticado por su falta de claridad conceptual,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Subyace aquí una dimensión normativa: El individualismo se ha entendido como una característica esencial de la cultura estadounidense y anglosajona, y se asocia constantemente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Individualismo, así, suele tener una connotación positiva; colectivismo, una negativa</w:t>
      </w:r>
      <w:r>
        <w:t xml:space="preserve"> </w:t>
      </w:r>
      <w:r>
        <w:t xml:space="preserve">(</w:t>
      </w:r>
      <w:hyperlink w:anchor="ref-moemeka1998">
        <w:r>
          <w:rPr>
            <w:rStyle w:val="Hipervnculo"/>
          </w:rPr>
          <w:t xml:space="preserve">Moemeka, 1998</w:t>
        </w:r>
      </w:hyperlink>
      <w:r>
        <w:t xml:space="preserve">)</w:t>
      </w:r>
      <w:r>
        <w:t xml:space="preserve">,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pPr>
        <w:pStyle w:val="Textoindependiente"/>
      </w:pPr>
      <w:r>
        <w:t xml:space="preserve">La falta de claridad conceptual se evidencia en el metaestudio realizado por Oyserman y sus colegas</w:t>
      </w:r>
      <w:r>
        <w:t xml:space="preserve"> </w:t>
      </w:r>
      <w:r>
        <w:t xml:space="preserve">(</w:t>
      </w:r>
      <w:hyperlink w:anchor="ref-oyserman2002">
        <w:r>
          <w:rPr>
            <w:rStyle w:val="Hipervnculo"/>
          </w:rPr>
          <w:t xml:space="preserve">2002</w:t>
        </w:r>
      </w:hyperlink>
      <w:r>
        <w:t xml:space="preserve">)</w:t>
      </w:r>
      <w: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contextualidad, jerarquía y grupos).</w:t>
      </w:r>
    </w:p>
    <w:p>
      <w:pPr>
        <w:pStyle w:val="Textoindependiente"/>
      </w:pPr>
      <w:r>
        <w:t xml:space="preserve">Brewer y Chen</w:t>
      </w:r>
      <w:r>
        <w:t xml:space="preserve"> </w:t>
      </w:r>
      <w:r>
        <w:t xml:space="preserve">(</w:t>
      </w:r>
      <w:hyperlink w:anchor="ref-brewer2007">
        <w:r>
          <w:rPr>
            <w:rStyle w:val="Hipervnculo"/>
          </w:rPr>
          <w:t xml:space="preserve">2007</w:t>
        </w:r>
      </w:hyperlink>
      <w:r>
        <w:t xml:space="preserve">)</w:t>
      </w:r>
      <w:r>
        <w:t xml:space="preserve"> </w:t>
      </w:r>
      <w:r>
        <w:t xml:space="preserve">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pPr>
        <w:pStyle w:val="Textoindependiente"/>
      </w:pPr>
      <w:r>
        <w:t xml:space="preserve">También se ha puesto atención a la falta de claridad de quiénes son los colectivos del colectivismo, sin establecer una distinción clara entre grupos, colectivos y comunidades. Un ejemplo de esta indefinición es el problema del familiarismo: La familia, de alguna forma u otra, se ha integrado en las definiciones y operacionalizaciones tanto de individualismo</w:t>
      </w:r>
      <w:r>
        <w:rPr>
          <w:rStyle w:val="Refdenotaalpie"/>
        </w:rPr>
        <w:footnoteReference w:id="22"/>
      </w:r>
      <w:r>
        <w:t xml:space="preserve"> </w:t>
      </w:r>
      <w:r>
        <w:t xml:space="preserve">como de colectivismo</w:t>
      </w:r>
      <w:r>
        <w:t xml:space="preserve"> </w:t>
      </w:r>
      <w:r>
        <w:t xml:space="preserve">(</w:t>
      </w:r>
      <w:hyperlink w:anchor="ref-oyserman2002">
        <w:r>
          <w:rPr>
            <w:rStyle w:val="Hipervnculo"/>
          </w:rPr>
          <w:t xml:space="preserve">Oyserman et al., 2002</w:t>
        </w:r>
      </w:hyperlink>
      <w:r>
        <w:t xml:space="preserve">)</w:t>
      </w:r>
      <w:r>
        <w:t xml:space="preserve">.</w:t>
      </w:r>
    </w:p>
    <w:p>
      <w:pPr>
        <w:pStyle w:val="Textoindependiente"/>
      </w:pPr>
      <w:r>
        <w:t xml:space="preserve">Moemeka</w:t>
      </w:r>
      <w:r>
        <w:t xml:space="preserve"> </w:t>
      </w:r>
      <w:r>
        <w:t xml:space="preserve">(</w:t>
      </w:r>
      <w:hyperlink w:anchor="ref-moemeka1998">
        <w:r>
          <w:rPr>
            <w:rStyle w:val="Hipervnculo"/>
          </w:rPr>
          <w:t xml:space="preserve">1998</w:t>
        </w:r>
      </w:hyperlink>
      <w:r>
        <w:t xml:space="preserve">)</w:t>
      </w:r>
      <w:r>
        <w:t xml:space="preserve"> </w:t>
      </w:r>
      <w:r>
        <w:t xml:space="preserve">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w:t>
      </w:r>
      <w:r>
        <w:t xml:space="preserve"> </w:t>
      </w:r>
      <w:r>
        <w:t xml:space="preserve">(</w:t>
      </w:r>
      <w:hyperlink w:anchor="ref-arribas1999">
        <w:r>
          <w:rPr>
            <w:rStyle w:val="Hipervnculo"/>
          </w:rPr>
          <w:t xml:space="preserve">Arribas, 1999</w:t>
        </w:r>
      </w:hyperlink>
      <w:r>
        <w:t xml:space="preserve">)</w:t>
      </w:r>
      <w:r>
        <w:t xml:space="preserve"> </w:t>
      </w:r>
      <w:r>
        <w:t xml:space="preserve">– tienen típicamente un mayor desarrollo en sociedades denominadas como individualistas.</w:t>
      </w:r>
    </w:p>
    <w:p>
      <w:pPr>
        <w:pStyle w:val="Textoindependiente"/>
      </w:pPr>
      <w:r>
        <w:t xml:space="preserve">Frente a lo anterior, Moemeka</w:t>
      </w:r>
      <w:r>
        <w:t xml:space="preserve"> </w:t>
      </w:r>
      <w:r>
        <w:t xml:space="preserve">(</w:t>
      </w:r>
      <w:hyperlink w:anchor="ref-moemeka1998">
        <w:r>
          <w:rPr>
            <w:rStyle w:val="Hipervnculo"/>
          </w:rPr>
          <w:t xml:space="preserve">1998</w:t>
        </w:r>
      </w:hyperlink>
      <w:r>
        <w:t xml:space="preserve">)</w:t>
      </w:r>
      <w:r>
        <w:t xml:space="preserve"> </w:t>
      </w:r>
      <w:r>
        <w:t xml:space="preserve">sugiere que en lugar de hablar de colectivismo, se debería utilizar el concepto de comunalismo. Sin embargo, Brewer y Chen</w:t>
      </w:r>
      <w:r>
        <w:t xml:space="preserve"> </w:t>
      </w:r>
      <w:r>
        <w:t xml:space="preserve">(</w:t>
      </w:r>
      <w:hyperlink w:anchor="ref-brewer2007">
        <w:r>
          <w:rPr>
            <w:rStyle w:val="Hipervnculo"/>
          </w:rPr>
          <w:t xml:space="preserve">2007</w:t>
        </w:r>
      </w:hyperlink>
      <w:r>
        <w:t xml:space="preserve">)</w:t>
      </w:r>
      <w:r>
        <w:t xml:space="preserve">, mediante un metaanálisis, concluyen que las escalas más utilizadas no miden realmente comunidades, según lo definido por Moemeka, sino que se centran en las relaciones interpersonales. Por ello, proponen distinguir esta dimensión de la colectiva propiamente tal, que se referiría más bien a grupos enteros, sean de carácter étnico, religioso o nacional.</w:t>
      </w:r>
    </w:p>
    <w:p>
      <w:pPr>
        <w:pStyle w:val="Textoindependiente"/>
      </w:pPr>
      <w:r>
        <w:t xml:space="preserve">Estas discrepancias conceptuales podrían explicar las</w:t>
      </w:r>
      <w:r>
        <w:t xml:space="preserve"> </w:t>
      </w:r>
      <w:r>
        <w:t xml:space="preserve">“</w:t>
      </w:r>
      <w:r>
        <w:t xml:space="preserve">anomalías</w:t>
      </w:r>
      <w:r>
        <w:t xml:space="preserve">”</w:t>
      </w:r>
      <w:r>
        <w:t xml:space="preserve"> </w:t>
      </w:r>
      <w:r>
        <w:t xml:space="preserve">observadas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w:t>
      </w:r>
    </w:p>
    <w:p>
      <w:pPr>
        <w:pStyle w:val="Textoindependiente"/>
      </w:pPr>
      <w:r>
        <w:t xml:space="preserve">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Responder esta pregunta implica el riesgo de salir de un relato de insuficiencia (</w:t>
      </w:r>
      <w:r>
        <w:t xml:space="preserve">“</w:t>
      </w:r>
      <w:r>
        <w:t xml:space="preserve">Chile no es un país individualista</w:t>
      </w:r>
      <w:r>
        <w:t xml:space="preserve">”</w:t>
      </w:r>
      <w:r>
        <w:t xml:space="preserve">), solo para caer en un relato del</w:t>
      </w:r>
      <w:r>
        <w:t xml:space="preserve"> </w:t>
      </w:r>
      <w:r>
        <w:rPr>
          <w:iCs/>
          <w:i/>
        </w:rPr>
        <w:t xml:space="preserve">ni, ni</w:t>
      </w:r>
      <w:r>
        <w:t xml:space="preserve"> </w:t>
      </w:r>
      <w:r>
        <w:t xml:space="preserve">(</w:t>
      </w:r>
      <w:hyperlink w:anchor="ref-martuccelli2010">
        <w:r>
          <w:rPr>
            <w:rStyle w:val="Hipervnculo"/>
          </w:rPr>
          <w:t xml:space="preserve">Martuccelli, 2010</w:t>
        </w:r>
      </w:hyperlink>
      <w:r>
        <w:t xml:space="preserve">)</w:t>
      </w:r>
      <w:r>
        <w:t xml:space="preserve">:</w:t>
      </w:r>
      <w:r>
        <w:t xml:space="preserve"> </w:t>
      </w:r>
      <w:r>
        <w:t xml:space="preserve">“</w:t>
      </w:r>
      <w:r>
        <w:t xml:space="preserve">Chile no es</w:t>
      </w:r>
      <w:r>
        <w:t xml:space="preserve"> </w:t>
      </w:r>
      <w:r>
        <w:rPr>
          <w:iCs/>
          <w:i/>
        </w:rPr>
        <w:t xml:space="preserve">ni</w:t>
      </w:r>
      <w:r>
        <w:t xml:space="preserve"> </w:t>
      </w:r>
      <w:r>
        <w:t xml:space="preserve">individualista</w:t>
      </w:r>
      <w:r>
        <w:t xml:space="preserve"> </w:t>
      </w:r>
      <w:r>
        <w:rPr>
          <w:iCs/>
          <w:i/>
        </w:rPr>
        <w:t xml:space="preserve">ni</w:t>
      </w:r>
      <w:r>
        <w:t xml:space="preserve"> </w:t>
      </w:r>
      <w:r>
        <w:t xml:space="preserve">colectivista</w:t>
      </w:r>
      <w:r>
        <w:t xml:space="preserve">”</w:t>
      </w:r>
      <w:r>
        <w:t xml:space="preserve">.</w:t>
      </w:r>
    </w:p>
    <w:p>
      <w:pPr>
        <w:pStyle w:val="Textoindependiente"/>
      </w:pPr>
      <w:r>
        <w:t xml:space="preserve">La teoría social avanza, siguiendo una clásica argumentación parsoniana</w:t>
      </w:r>
      <w:r>
        <w:t xml:space="preserve"> </w:t>
      </w:r>
      <w:r>
        <w:t xml:space="preserve">(</w:t>
      </w:r>
      <w:hyperlink w:anchor="ref-bouzanis2019">
        <w:r>
          <w:rPr>
            <w:rStyle w:val="Hipervnculo"/>
          </w:rPr>
          <w:t xml:space="preserve">Bouzanis &amp; Kemp, 2019</w:t>
        </w:r>
      </w:hyperlink>
      <w:r>
        <w:t xml:space="preserve">)</w:t>
      </w:r>
      <w:r>
        <w:t xml:space="preserve">,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pPr>
        <w:pStyle w:val="Textoindependiente"/>
      </w:pPr>
      <w:r>
        <w:t xml:space="preserve">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bookmarkEnd w:id="23"/>
    <w:bookmarkStart w:id="27" w:name="X69685167caedc7dcce00c53040406adcc5ff8de"/>
    <w:p>
      <w:pPr>
        <w:pStyle w:val="Ttulo3"/>
      </w:pPr>
      <w:r>
        <w:t xml:space="preserve">Individualismo desde la Sociología del Individuo</w:t>
      </w:r>
    </w:p>
    <w:p>
      <w:pPr>
        <w:pStyle w:val="FirstParagraph"/>
      </w:pPr>
      <w:r>
        <w:t xml:space="preserve">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w:t>
      </w:r>
      <w:r>
        <w:t xml:space="preserve"> </w:t>
      </w:r>
      <w:r>
        <w:t xml:space="preserve">“</w:t>
      </w:r>
      <w:r>
        <w:t xml:space="preserve">las instituciones cardinales de la sociedad moderna – los derechos civiles, políticos y sociales básicos, pero también el empleo remunerado y la formación y movilidad que éste conlleva – están orientados al individuo y no al grupo</w:t>
      </w:r>
      <w:r>
        <w:t xml:space="preserve">”</w:t>
      </w:r>
      <w:r>
        <w:t xml:space="preserve"> </w:t>
      </w:r>
      <w:r>
        <w:t xml:space="preserve">(</w:t>
      </w:r>
      <w:hyperlink w:anchor="ref-beck2003">
        <w:r>
          <w:rPr>
            <w:rStyle w:val="Hipervnculo"/>
          </w:rPr>
          <w:t xml:space="preserve">Beck &amp; Beck-Gernsheim, 2003, p. 32</w:t>
        </w:r>
      </w:hyperlink>
      <w:r>
        <w:t xml:space="preserve">)</w:t>
      </w:r>
      <w:r>
        <w:t xml:space="preserve">.</w:t>
      </w:r>
    </w:p>
    <w:p>
      <w:pPr>
        <w:pStyle w:val="Textoindependiente"/>
      </w:pPr>
      <w:r>
        <w:t xml:space="preserve">De forma sucinta, la teoría de la individualización surgió en Europa a mediados de la década de 1980 con el propósito de explicar las trasformaciones aparejadas a lo que se ha denominado como</w:t>
      </w:r>
      <w:r>
        <w:t xml:space="preserve"> </w:t>
      </w:r>
      <w:r>
        <w:rPr>
          <w:iCs/>
          <w:i/>
        </w:rPr>
        <w:t xml:space="preserve">modernidad reflexiva</w:t>
      </w:r>
      <w:r>
        <w:t xml:space="preserve">. Esta teoría sostiene que se está produciendo un proceso de distanciamiento entre la agencia y la estructura, dejando a un individuo cada vez más responsable de sí mismo y de dar respuesta por sus propios medios a las incertidumbres producidas en el mundo social</w:t>
      </w:r>
      <w:r>
        <w:t xml:space="preserve"> </w:t>
      </w:r>
      <w:r>
        <w:t xml:space="preserve">(</w:t>
      </w:r>
      <w:hyperlink w:anchor="ref-beck2003">
        <w:r>
          <w:rPr>
            <w:rStyle w:val="Hipervnculo"/>
          </w:rPr>
          <w:t xml:space="preserve">Beck &amp; Beck-Gernsheim, 2003</w:t>
        </w:r>
      </w:hyperlink>
      <w:r>
        <w:t xml:space="preserve">)</w:t>
      </w:r>
      <w:r>
        <w:t xml:space="preserve">. Desde fines de los años 90, está teoría ha sido uno de los marcos analíticos preferidos por las ciencias sociales en Chile para dar cuenta de las transformaciones culturales, sociales y económicas producidas en el país durante las últimas décadas</w:t>
      </w:r>
      <w:r>
        <w:t xml:space="preserve"> </w:t>
      </w:r>
      <w:r>
        <w:t xml:space="preserve">(</w:t>
      </w:r>
      <w:hyperlink w:anchor="ref-yopo2013">
        <w:r>
          <w:rPr>
            <w:rStyle w:val="Hipervnculo"/>
          </w:rPr>
          <w:t xml:space="preserve">Yopo, 2013</w:t>
        </w:r>
      </w:hyperlink>
      <w:r>
        <w:t xml:space="preserve">)</w:t>
      </w:r>
      <w:r>
        <w:t xml:space="preserve">.</w:t>
      </w:r>
    </w:p>
    <w:p>
      <w:pPr>
        <w:pStyle w:val="Textoindependiente"/>
      </w:pPr>
      <w:r>
        <w:t xml:space="preserve">También dentro de esta tradición teórica, el marco analítico de esta investigación se sustenta principalmente en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 Si en la sección anterior se mostró la ambigüedad con que se definen los colectivos del colectivismo, a partir del trabajo de Martuccelli es posible revelar la noción de individuo que subyace a las conceptualizaciones imperantes de individualismo.</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3 rasgos fundamentales:</w:t>
      </w:r>
    </w:p>
    <w:p>
      <w:pPr>
        <w:numPr>
          <w:ilvl w:val="0"/>
          <w:numId w:val="1002"/>
        </w:numPr>
        <w:pStyle w:val="Compact"/>
      </w:pPr>
      <w:r>
        <w:t xml:space="preserve">Una separación radical entre holismo e individualismo</w:t>
      </w:r>
    </w:p>
    <w:p>
      <w:pPr>
        <w:numPr>
          <w:ilvl w:val="0"/>
          <w:numId w:val="1002"/>
        </w:numPr>
        <w:pStyle w:val="Compact"/>
      </w:pPr>
      <w:r>
        <w:t xml:space="preserve">Una concepción atomizada del individuo. Es decir, la idea de que los individuos son prexistentes de sus lazos sociales.</w:t>
      </w:r>
    </w:p>
    <w:p>
      <w:pPr>
        <w:numPr>
          <w:ilvl w:val="0"/>
          <w:numId w:val="1002"/>
        </w:numPr>
        <w:pStyle w:val="Compact"/>
      </w:pPr>
      <w:r>
        <w:t xml:space="preserve">La preeminencia del rol de las instituciones en los procesos de individuación, de modo que la individualidad deja de ser percibida como una desviación y se convierte en el modelo institucional a encarnar.</w:t>
      </w:r>
    </w:p>
    <w:p>
      <w:pPr>
        <w:pStyle w:val="FirstParagraph"/>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Como se mencionó anteriormente, subyace aquí un aspecto normativo que asocia al individualismo y al individuo soberano con el orden social de la modernidad occidental, mientras que relaciona a la sociedad tradicional con todas sus desviaciones</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Abordar el fenómeno del individualismo desde la sociología del individuo presenta la ventaja de que permite desembarazarse de esta conceptualización unívoca de individuo. Además, proporciona una salida a las definiciones múltiples y ambiguas de colectivismo, expuestas en la sección anterior.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pPr>
        <w:pStyle w:val="Textoindependiente"/>
      </w:pPr>
      <w:r>
        <w:t xml:space="preserve">A continuación, pues, se profundizará en la propuesta teórica que aquí se está planteando, examinando más en detalle las dimensiones que se desprenden de esta.</w:t>
      </w:r>
    </w:p>
    <w:bookmarkStart w:id="24" w:name="legitimidad-de-la-acción-individual"/>
    <w:p>
      <w:pPr>
        <w:pStyle w:val="Ttulo4"/>
      </w:pPr>
      <w:r>
        <w:t xml:space="preserve">Legitimidad de la acción individual</w:t>
      </w:r>
    </w:p>
    <w:p>
      <w:pPr>
        <w:pStyle w:val="FirstParagraph"/>
      </w:pPr>
      <w:r>
        <w:t xml:space="preserve">Está dimensión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en la política, un individualismo moral; y en la afectiva, un individualismo expresivo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necesariamente en lo que respecta al derecho al aborto o a la eutanasia</w:t>
      </w:r>
      <w:r>
        <w:t xml:space="preserve"> </w:t>
      </w:r>
      <w:r>
        <w:t xml:space="preserve">(</w:t>
      </w:r>
      <w:hyperlink w:anchor="ref-kemmelmeier2003">
        <w:r>
          <w:rPr>
            <w:rStyle w:val="Hipervnculo"/>
          </w:rPr>
          <w:t xml:space="preserve">Kemmelmeier et al., 2003</w:t>
        </w:r>
      </w:hyperlink>
      <w:r>
        <w:t xml:space="preserve">)</w:t>
      </w:r>
      <w:r>
        <w:t xml:space="preserve">.</w:t>
      </w:r>
    </w:p>
    <w:p>
      <w:pPr>
        <w:pStyle w:val="Textoindependiente"/>
      </w:pPr>
      <w:r>
        <w:t xml:space="preserve">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En el contexto chileno, este tipo de individualismo podría vincularse a la instauración del neoliberalismo y la emergencia de un</w:t>
      </w:r>
      <w:r>
        <w:t xml:space="preserve"> </w:t>
      </w:r>
      <w:r>
        <w:rPr>
          <w:iCs/>
          <w:i/>
        </w:rPr>
        <w:t xml:space="preserve">homo neoliberalis</w:t>
      </w:r>
      <w:r>
        <w:t xml:space="preserve">, principalmente mediante el acceso al consumo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embargo, su legitimidad está lejos de ser univoca, como se evidencia en la relación ambigua de los chilenos frente al oportunismo</w:t>
      </w:r>
      <w:r>
        <w:t xml:space="preserve"> </w:t>
      </w:r>
      <w:r>
        <w:t xml:space="preserve">(</w:t>
      </w:r>
      <w:hyperlink w:anchor="ref-araujo2014">
        <w:r>
          <w:rPr>
            <w:rStyle w:val="Hipervnculo"/>
          </w:rPr>
          <w:t xml:space="preserve">Araujo &amp; Martuccelli, 2014</w:t>
        </w:r>
      </w:hyperlink>
      <w:r>
        <w:t xml:space="preserve">)</w:t>
      </w:r>
      <w:r>
        <w:t xml:space="preserve"> </w:t>
      </w:r>
      <w:r>
        <w:t xml:space="preserve">y al consumismo</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El individualismo moral, por otro lado, enfatiza la obligación moral de tratar al Otro como un fin en sí mismo. La institucionalización de esta idea se refleja en las declaraciones de derechos humanos, civiles y sociales, que reconocen a los individuos como iguales y autónomos</w:t>
      </w:r>
      <w:r>
        <w:t xml:space="preserve"> </w:t>
      </w:r>
      <w:r>
        <w:t xml:space="preserve">(</w:t>
      </w:r>
      <w:hyperlink w:anchor="ref-cortois2018">
        <w:r>
          <w:rPr>
            <w:rStyle w:val="Hipervnculo"/>
          </w:rPr>
          <w:t xml:space="preserve">Cortois &amp; Laermans, 2018</w:t>
        </w:r>
      </w:hyperlink>
      <w:r>
        <w:t xml:space="preserve">)</w:t>
      </w:r>
      <w:r>
        <w:t xml:space="preserve">. En América Latina, este tipo de individualismo ha experimentado una importante valorización tras las dictaduras del siglo XX</w:t>
      </w:r>
      <w:r>
        <w:t xml:space="preserve"> </w:t>
      </w:r>
      <w:r>
        <w:t xml:space="preserve">(</w:t>
      </w:r>
      <w:hyperlink w:anchor="ref-araujo2020a">
        <w:r>
          <w:rPr>
            <w:rStyle w:val="Hipervnculo"/>
          </w:rPr>
          <w:t xml:space="preserve">Araujo &amp; Martuccelli, 2020b</w:t>
        </w:r>
      </w:hyperlink>
      <w:r>
        <w:t xml:space="preserve">)</w:t>
      </w:r>
      <w:r>
        <w:t xml:space="preserve">. En Chile, además, se puede observar en las aspiraciones por la democratización y la horizontalización de lazo social, así como en las demandas por dignidad</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Si cada una de estas variantes introducidas se puede relacionar con las dos vertientes de la</w:t>
      </w:r>
      <w:r>
        <w:t xml:space="preserve"> </w:t>
      </w:r>
      <w:r>
        <w:rPr>
          <w:iCs/>
          <w:i/>
        </w:rPr>
        <w:t xml:space="preserve">doble revolución</w:t>
      </w:r>
      <w:r>
        <w:t xml:space="preserve"> </w:t>
      </w:r>
      <w:r>
        <w:t xml:space="preserve">descrita por Eric Hobsbawm, Eva Illouz</w:t>
      </w:r>
      <w:r>
        <w:t xml:space="preserve"> </w:t>
      </w:r>
      <w:r>
        <w:t xml:space="preserve">(</w:t>
      </w:r>
      <w:hyperlink w:anchor="ref-illouz2020">
        <w:r>
          <w:rPr>
            <w:rStyle w:val="Hipervnculo"/>
          </w:rPr>
          <w:t xml:space="preserve">2020</w:t>
        </w:r>
      </w:hyperlink>
      <w:r>
        <w:t xml:space="preserve">)</w:t>
      </w:r>
      <w:r>
        <w:t xml:space="preserve"> </w:t>
      </w:r>
      <w:r>
        <w:t xml:space="preserve">introduce una tercera revolución acontecida en el plano emocional y en la esfera privada. Se trata de un cambio cultural del que emerge el individualismo expresivo, en el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 Opera, así, en el ámbito del amor, la sexualidad, la identidad, la intimidad y la familia.</w:t>
      </w:r>
    </w:p>
    <w:p>
      <w:pPr>
        <w:pStyle w:val="Textoindependiente"/>
      </w:pPr>
      <w:r>
        <w:t xml:space="preserve">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bookmarkEnd w:id="24"/>
    <w:bookmarkStart w:id="25" w:name="autoconcepciones-del-individuo"/>
    <w:p>
      <w:pPr>
        <w:pStyle w:val="Ttulo4"/>
      </w:pPr>
      <w:r>
        <w:t xml:space="preserve">(Auto)concepciones del individuo:</w:t>
      </w:r>
    </w:p>
    <w:p>
      <w:pPr>
        <w:pStyle w:val="FirstParagraph"/>
      </w:pPr>
      <w:r>
        <w:t xml:space="preserve">Esta dimensión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bookmarkEnd w:id="25"/>
    <w:bookmarkStart w:id="26" w:name="valores-e-imperativos"/>
    <w:p>
      <w:pPr>
        <w:pStyle w:val="Ttulo4"/>
      </w:pPr>
      <w:r>
        <w:t xml:space="preserve">Valores e Imperativos:</w:t>
      </w:r>
    </w:p>
    <w:p>
      <w:pPr>
        <w:pStyle w:val="FirstParagraph"/>
      </w:pPr>
      <w:r>
        <w:t xml:space="preserve">Esta dimensión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End w:id="26"/>
    <w:bookmarkEnd w:id="27"/>
    <w:bookmarkStart w:id="29" w:name="X246a8037cf359d3cef3635f4c2b3ff432e1507c"/>
    <w:p>
      <w:pPr>
        <w:pStyle w:val="Ttulo3"/>
      </w:pPr>
      <w:r>
        <w:t xml:space="preserve">Perfiles de Individualismo y democracia delegativa</w:t>
      </w:r>
    </w:p>
    <w:p>
      <w:pPr>
        <w:pStyle w:val="FirstParagraph"/>
      </w:pPr>
      <w:r>
        <w:t xml:space="preserve">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w:t>
      </w:r>
      <w:r>
        <w:t xml:space="preserve"> </w:t>
      </w:r>
      <w:r>
        <w:rPr>
          <w:rStyle w:val="Refdenotaalpie"/>
        </w:rPr>
        <w:footnoteReference w:id="28"/>
      </w:r>
      <w:r>
        <w:t xml:space="preserve"> </w:t>
      </w:r>
      <w:r>
        <w:t xml:space="preserve">conformadas por individuos que persiguen objetivos individuales a través de la acción colectiva</w:t>
      </w:r>
      <w:r>
        <w:t xml:space="preserve"> </w:t>
      </w:r>
      <w:r>
        <w:t xml:space="preserve">(</w:t>
      </w:r>
      <w:hyperlink w:anchor="ref-arribas1999">
        <w:r>
          <w:rPr>
            <w:rStyle w:val="Hipervnculo"/>
          </w:rPr>
          <w:t xml:space="preserve">Arribas, 1999</w:t>
        </w:r>
      </w:hyperlink>
      <w:r>
        <w:t xml:space="preserve">;</w:t>
      </w:r>
      <w:r>
        <w:t xml:space="preserve"> </w:t>
      </w:r>
      <w:hyperlink w:anchor="ref-moemeka1998">
        <w:r>
          <w:rPr>
            <w:rStyle w:val="Hipervnculo"/>
          </w:rPr>
          <w:t xml:space="preserve">Moemeka, 1998</w:t>
        </w:r>
      </w:hyperlink>
      <w:r>
        <w:t xml:space="preserve">)</w:t>
      </w:r>
      <w:r>
        <w:t xml:space="preserve">. Zygmunt Bauman teorizó en este sentido, argumentando que los movimientos de trabajadores durante los siglos XIX y XX son resultado de procesos de individualización desiguales en esas sociedades:</w:t>
      </w:r>
    </w:p>
    <w:p>
      <w:pPr>
        <w:pStyle w:val="Textodebloque"/>
      </w:pPr>
      <w: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w:t>
      </w:r>
      <w:r>
        <w:t xml:space="preserve"> </w:t>
      </w:r>
      <w:r>
        <w:rPr>
          <w:iCs/>
          <w:i/>
        </w:rPr>
        <w:t xml:space="preserve">natural</w:t>
      </w:r>
      <w:r>
        <w:t xml:space="preserve"> </w:t>
      </w:r>
      <w:r>
        <w:t xml:space="preserve">y</w:t>
      </w:r>
      <w:r>
        <w:t xml:space="preserve"> </w:t>
      </w:r>
      <w:r>
        <w:rPr>
          <w:iCs/>
          <w:i/>
        </w:rPr>
        <w:t xml:space="preserve">obvia</w:t>
      </w:r>
      <w:r>
        <w:t xml:space="preserve"> </w:t>
      </w:r>
      <w:r>
        <w:t xml:space="preserve">como llegaba a sus jefes y empresarios la búsqueda individual de las metas vitales”</w:t>
      </w:r>
      <w:r>
        <w:t xml:space="preserve"> </w:t>
      </w:r>
      <w:r>
        <w:t xml:space="preserve">(</w:t>
      </w:r>
      <w:hyperlink w:anchor="ref-bauman2003">
        <w:r>
          <w:rPr>
            <w:rStyle w:val="Hipervnculo"/>
          </w:rPr>
          <w:t xml:space="preserve">Bauman, 2003, p. 23</w:t>
        </w:r>
      </w:hyperlink>
      <w:r>
        <w:t xml:space="preserve">)</w:t>
      </w:r>
      <w:r>
        <w:t xml:space="preserve">.</w:t>
      </w:r>
    </w:p>
    <w:p>
      <w:pPr>
        <w:pStyle w:val="FirstParagraph"/>
      </w:pPr>
      <w:r>
        <w:t xml:space="preserve">En la argumentación de Bauman, ya se puede divisar un punto clave en este marco analítico: El individualismo institucional es solo una modalidad entre varias. El propio Martuccelli</w:t>
      </w:r>
      <w:r>
        <w:t xml:space="preserve"> </w:t>
      </w:r>
      <w:r>
        <w:t xml:space="preserve">(</w:t>
      </w:r>
      <w:hyperlink w:anchor="ref-martuccelli2018">
        <w:r>
          <w:rPr>
            <w:rStyle w:val="Hipervnculo"/>
          </w:rPr>
          <w:t xml:space="preserve">2018</w:t>
        </w:r>
      </w:hyperlink>
      <w:r>
        <w:t xml:space="preserve">)</w:t>
      </w:r>
      <w:r>
        <w:t xml:space="preserve"> </w:t>
      </w:r>
      <w:r>
        <w:t xml:space="preserve">esquematiza una descripción de diversas variantes de individualismo que serían propias de las sociedades africanas (el individualismo comunitario), asiáticas (el individualismo ontorrelacional) y latinoamericanas (el individualismo agéntico).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pPr>
        <w:pStyle w:val="Textoindependiente"/>
      </w:pPr>
      <w:r>
        <w:t xml:space="preserve">Las diferencias raciales en las escalas de individualismo-colectivismo en Estados Unidos</w:t>
      </w:r>
      <w:r>
        <w:t xml:space="preserve"> </w:t>
      </w:r>
      <w:r>
        <w:t xml:space="preserve">(</w:t>
      </w:r>
      <w:hyperlink w:anchor="ref-komarraju2008">
        <w:r>
          <w:rPr>
            <w:rStyle w:val="Hipervnculo"/>
          </w:rPr>
          <w:t xml:space="preserve">Komarraju &amp; Cokley, 2008</w:t>
        </w:r>
      </w:hyperlink>
      <w:r>
        <w:t xml:space="preserve">;</w:t>
      </w:r>
      <w:r>
        <w:t xml:space="preserve"> </w:t>
      </w:r>
      <w:hyperlink w:anchor="ref-oyserman2002">
        <w:r>
          <w:rPr>
            <w:rStyle w:val="Hipervnculo"/>
          </w:rPr>
          <w:t xml:space="preserve">Oyserman et al., 2002</w:t>
        </w:r>
      </w:hyperlink>
      <w:r>
        <w:t xml:space="preserve">)</w:t>
      </w:r>
      <w:r>
        <w:t xml:space="preserve"> </w:t>
      </w:r>
      <w:r>
        <w:t xml:space="preserve">entregan evidencia empírica a esta forma de entender el constructo: Mientras entre europeos-estadounidenses no existe relación significativa entre individualismo y colectivismo, la asociación si es observable entre afroamericanos</w:t>
      </w:r>
      <w:r>
        <w:t xml:space="preserve"> </w:t>
      </w:r>
      <w:r>
        <w:t xml:space="preserve">(</w:t>
      </w:r>
      <w:hyperlink w:anchor="ref-komarraju2008">
        <w:r>
          <w:rPr>
            <w:rStyle w:val="Hipervnculo"/>
          </w:rPr>
          <w:t xml:space="preserve">Komarraju &amp; Cokley, 2008</w:t>
        </w:r>
      </w:hyperlink>
      <w:r>
        <w:t xml:space="preserve">)</w:t>
      </w:r>
      <w:r>
        <w:t xml:space="preserve">. Se debe recordar, además, que ya en los años 80, en su clásico</w:t>
      </w:r>
      <w:r>
        <w:t xml:space="preserve"> </w:t>
      </w:r>
      <w:r>
        <w:rPr>
          <w:iCs/>
          <w:i/>
        </w:rPr>
        <w:t xml:space="preserve">Habits of the Hearts</w:t>
      </w:r>
      <w:r>
        <w:t xml:space="preserve">, Robert Bellah y su equipo describían dos tradiciones de individualismo en los Estados Unidos. En Chile, mediante un análisis de conglomerados a partir de la escala de Triandis (que distingue entre individualismo-colectivismo vertical y horizontal), se identificaron 5 grupos (colectivistas independientes, colectivistas puros, colectivistas idiocéntricos, individualistas alocéntricos y renegados)</w:t>
      </w:r>
      <w:r>
        <w:t xml:space="preserve"> </w:t>
      </w:r>
      <w:r>
        <w:t xml:space="preserve">(</w:t>
      </w:r>
      <w:hyperlink w:anchor="ref-rojas2008">
        <w:r>
          <w:rPr>
            <w:rStyle w:val="Hipervnculo"/>
          </w:rPr>
          <w:t xml:space="preserve">Rojas-Méndez et al., 2008</w:t>
        </w:r>
      </w:hyperlink>
      <w:r>
        <w:t xml:space="preserve">)</w:t>
      </w:r>
      <w:r>
        <w:t xml:space="preserve">. Pensar en distintas modalidades de individualismo también permite dar una salida al problema del familiarismo identificado por Oyserman y colegas</w:t>
      </w:r>
      <w:r>
        <w:t xml:space="preserve"> </w:t>
      </w:r>
      <w:r>
        <w:t xml:space="preserve">(</w:t>
      </w:r>
      <w:hyperlink w:anchor="ref-oyserman2002">
        <w:r>
          <w:rPr>
            <w:rStyle w:val="Hipervnculo"/>
          </w:rPr>
          <w:t xml:space="preserve">2002</w:t>
        </w:r>
      </w:hyperlink>
      <w:r>
        <w:t xml:space="preserve">)</w:t>
      </w:r>
      <w:r>
        <w:t xml:space="preserve">: No se trata de si el familiarismo es una característica propia del individualismo o del colectivismo, sino que hay individualismos que definen de forma diversa la relación de los individuos con sus familias.</w:t>
      </w:r>
    </w:p>
    <w:p>
      <w:pPr>
        <w:pStyle w:val="Textoindependiente"/>
      </w:pPr>
      <w:r>
        <w:t xml:space="preserve">De tal manera, 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individualización divergentes que afectan de manera diferenciada distintos segmentos de la población.</w:t>
      </w:r>
    </w:p>
    <w:p>
      <w:pPr>
        <w:pStyle w:val="Textoindependiente"/>
      </w:pPr>
      <w:r>
        <w:t xml:space="preserve">La individualización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w:t>
      </w:r>
    </w:p>
    <w:p>
      <w:pPr>
        <w:pStyle w:val="Textoindependiente"/>
      </w:pPr>
      <w:r>
        <w:t xml:space="preserve">En otras palabras, si es posible que el individualismo sea un elemento constituyente tanto de una democracia delegativa</w:t>
      </w:r>
      <w:r>
        <w:t xml:space="preserve"> </w:t>
      </w:r>
      <w:r>
        <w:t xml:space="preserve">(</w:t>
      </w:r>
      <w:hyperlink w:anchor="ref-odonnell1994">
        <w:r>
          <w:rPr>
            <w:rStyle w:val="Hipervnculo"/>
          </w:rPr>
          <w:t xml:space="preserve">O’Donnell, 1994</w:t>
        </w:r>
      </w:hyperlink>
      <w:r>
        <w:t xml:space="preserve">)</w:t>
      </w:r>
      <w:r>
        <w:t xml:space="preserve"> </w:t>
      </w:r>
      <w:r>
        <w:t xml:space="preserve">como de una democracia representativa</w:t>
      </w:r>
      <w:r>
        <w:t xml:space="preserve"> </w:t>
      </w:r>
      <w:r>
        <w:t xml:space="preserve">(</w:t>
      </w:r>
      <w:hyperlink w:anchor="ref-martuccelli2010">
        <w:r>
          <w:rPr>
            <w:rStyle w:val="Hipervnculo"/>
          </w:rPr>
          <w:t xml:space="preserve">Martuccelli, 2010</w:t>
        </w:r>
      </w:hyperlink>
      <w:r>
        <w:t xml:space="preserve">)</w:t>
      </w:r>
      <w:r>
        <w:t xml:space="preserve">, es porque cada una se sustenta en modelos de individualismo distintos. Es precisamente esta relación ambigua entre democracia e individualismo la que se busca poner en tensión en este marco analítico, y la que se examinará a través de la estrategia metodológica presentada a continuación.</w:t>
      </w:r>
    </w:p>
    <w:bookmarkEnd w:id="29"/>
    <w:bookmarkEnd w:id="30"/>
    <w:bookmarkEnd w:id="31"/>
    <w:bookmarkStart w:id="48"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33"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tanto un modelo que identifique perfiles de individualismo como un indicador que mida el apoyo a la democracia delegativa. Por lo tanto, si bien puede limitar el alcance de los resultados obtenidos, el trabajo con datos secundarios se considera como una solución práctica ante la limitaciones de esta investigación para producir datos primarios</w:t>
      </w:r>
    </w:p>
    <w:p>
      <w:pPr>
        <w:pStyle w:val="Textoindependiente"/>
      </w:pPr>
      <w:r>
        <w:t xml:space="preserve">En la Tabla 3.1 se resumen algunas de las principales variables de caracterización de la base de datos.</w:t>
      </w:r>
    </w:p>
    <w:p>
      <w:pPr>
        <w:pStyle w:val="TableCaption"/>
      </w:pPr>
      <w:bookmarkStart w:id="32" w:name="tab:unnamed-chunk-3"/>
      <w:bookmarkEnd w:id="32"/>
      <w:r>
        <w:t xml:space="preserve">Tabla 3.1:</w:t>
      </w:r>
      <w:r>
        <w:t xml:space="preserve"> </w:t>
      </w:r>
      <w:r>
        <w:t xml:space="preserve">Resumen muestra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Porcentaje</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 muestra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r>
      <w:tr>
        <w:trPr>
          <w:trHeight w:val="360"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Sexo</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Edad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a 29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a 49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50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w:t>
            </w:r>
          </w:p>
        </w:tc>
      </w:tr>
      <w:tr>
        <w:trPr>
          <w:trHeight w:val="360" w:hRule="auto"/>
        </w:trPr>
        body10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Zona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Nivel Educacional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Básico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r>
      <w:tr>
        <w:trPr>
          <w:trHeight w:val="360" w:hRule="auto"/>
        </w:trPr>
        body17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Religión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Ninguna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bookmarkEnd w:id="33"/>
    <w:bookmarkStart w:id="43" w:name="variables"/>
    <w:p>
      <w:pPr>
        <w:pStyle w:val="Ttulo2"/>
      </w:pPr>
      <w:r>
        <w:rPr>
          <w:rStyle w:val="SectionNumber"/>
        </w:rPr>
        <w:t xml:space="preserve">3.2</w:t>
      </w:r>
      <w:r>
        <w:tab/>
      </w:r>
      <w:r>
        <w:t xml:space="preserve">Variables</w:t>
      </w:r>
    </w:p>
    <w:bookmarkStart w:id="34" w:name="variable-dependiente"/>
    <w:p>
      <w:pPr>
        <w:pStyle w:val="Ttulo3"/>
      </w:pPr>
      <w:r>
        <w:t xml:space="preserve">Variable dependiente</w:t>
      </w:r>
    </w:p>
    <w:p>
      <w:pPr>
        <w:pStyle w:val="FirstParagraph"/>
      </w:pPr>
      <w:r>
        <w:t xml:space="preserve">La variable dependiente es el apoyo a la democracia delegativa, que se midió a través de un índice sumativo compuesto por dos ítems: i) la valoración sobre qué tan bueno es</w:t>
      </w:r>
      <w:r>
        <w:t xml:space="preserve"> </w:t>
      </w:r>
      <w:r>
        <w:rPr>
          <w:iCs/>
          <w:i/>
        </w:rPr>
        <w:t xml:space="preserve">tener un líder fuerte que no se preocupe por el congreso y las elecciones</w:t>
      </w:r>
      <w:r>
        <w:t xml:space="preserve">, que es una pregunta que ha sido previamente utilizada para medir el apoyo a la democracia delegativa en contextos asiáticos</w:t>
      </w:r>
      <w:r>
        <w:t xml:space="preserve"> </w:t>
      </w:r>
      <w:r>
        <w:t xml:space="preserve">(</w:t>
      </w:r>
      <w:hyperlink w:anchor="ref-kang2018">
        <w:r>
          <w:rPr>
            <w:rStyle w:val="Hipervnculo"/>
          </w:rPr>
          <w:t xml:space="preserve">Kang &amp; Lee, 2018</w:t>
        </w:r>
      </w:hyperlink>
      <w:r>
        <w:t xml:space="preserve">)</w:t>
      </w:r>
      <w:r>
        <w:t xml:space="preserve">; y ii) la valoración sobre qué tan bueno es</w:t>
      </w:r>
      <w:r>
        <w:t xml:space="preserve"> </w:t>
      </w:r>
      <w:r>
        <w:rPr>
          <w:iCs/>
          <w:i/>
        </w:rPr>
        <w:t xml:space="preserve">tener expertos, en lugar de un gobierno, tomando decisiones de acuerdo a lo que ellos creen que es mejor para el país</w:t>
      </w:r>
      <w:r>
        <w:t xml:space="preserve">, considerando la impronta tecnocrática de la democracia delegativa</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Cada uno de los ítems cuenta con 4 categorías de respuestas (1. Muy bueno; 2. Bueno; 3. Malo; 4. Muy Malo). Con el fin de facilitar el análisis, estas respuestas se recodificaron en sentido opuesto. Luego, se sumaron y promediaron. De esta manera, se construyo un índice con valores que oscilan entre 1 y 4, donde 1 representa un bajo apoyo a la democracia delegativa, y 4 refleja un alto apoyo.</w:t>
      </w:r>
    </w:p>
    <w:p>
      <w:pPr>
        <w:pStyle w:val="Textoindependiente"/>
      </w:pPr>
      <w:r>
        <w:t xml:space="preserve">La consistencia interna de este indicador, medida a través del coeficiente</w:t>
      </w:r>
      <w:r>
        <w:t xml:space="preserve"> </w:t>
      </w:r>
      <m:oMath>
        <m:r>
          <m:t>α</m:t>
        </m:r>
      </m:oMath>
      <w:r>
        <w:t xml:space="preserve"> </w:t>
      </w:r>
      <w:r>
        <w:t xml:space="preserve">de Cronbach, es de 0,65. Aunque este valor se sitúa por debajo de la convención que considera valores por encima de 0,7 como aceptables, no debería ser visto como una limitación para su uso</w:t>
      </w:r>
      <w:r>
        <w:t xml:space="preserve"> </w:t>
      </w:r>
      <w:r>
        <w:t xml:space="preserve">(</w:t>
      </w:r>
      <w:hyperlink w:anchor="ref-schmitt1996">
        <w:r>
          <w:rPr>
            <w:rStyle w:val="Hipervnculo"/>
          </w:rPr>
          <w:t xml:space="preserve">Schmitt, 1996</w:t>
        </w:r>
      </w:hyperlink>
      <w:r>
        <w:t xml:space="preserve">)</w:t>
      </w:r>
      <w:r>
        <w:t xml:space="preserve">, considerando que existen razones teóricas sólidas que respaldan la idea de que ambos ítems miden distintas dimensiones de un mismo constructo. De todas formas, a modo de complemento, se incluyeron análisis de ambos ítems por separado, para así abordar la posibilidad de divergencias en su relación con las variables independientes.</w:t>
      </w:r>
    </w:p>
    <w:bookmarkEnd w:id="34"/>
    <w:bookmarkStart w:id="40"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36"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r>
        <w:t xml:space="preserve"> </w:t>
      </w: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35"/>
      </w:r>
      <w:r>
        <w:t xml:space="preserve">.</w:t>
      </w:r>
    </w:p>
    <w:bookmarkEnd w:id="36"/>
    <w:bookmarkStart w:id="37"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utilizando los mismos criterios mencionados anteriormente.</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w:t>
      </w:r>
    </w:p>
    <w:p>
      <w:pPr>
        <w:pStyle w:val="Textoindependiente"/>
      </w:pPr>
      <w:r>
        <w:t xml:space="preserve">A diferencia de las demás variables, dado que los indicadores de interdependencia relacional e interdependencia colectiva ya son variables categóricas, se optó por no recodificar estos ítems, reduciendo así la pérdida de varianza.</w:t>
      </w:r>
    </w:p>
    <w:bookmarkEnd w:id="37"/>
    <w:bookmarkStart w:id="39"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8" w:name="tab:unnamed-chunk-4"/>
      <w:bookmarkEnd w:id="38"/>
      <w:r>
        <w:t xml:space="preserve">Tabla 3.2:</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9"/>
    <w:bookmarkEnd w:id="40"/>
    <w:bookmarkStart w:id="42"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41" w:name="tab:unnamed-chunk-5"/>
      <w:bookmarkEnd w:id="41"/>
      <w:r>
        <w:t xml:space="preserve">Tabla 3.3:</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p>
        </w:tc>
      </w:tr>
      <w:tr>
        <w:trPr>
          <w:trHeight w:val="360" w:hRule="auto"/>
        </w:trPr>
        body20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body21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bl>
    <w:bookmarkEnd w:id="42"/>
    <w:bookmarkEnd w:id="43"/>
    <w:bookmarkStart w:id="47" w:name="estrategia-de-análisis"/>
    <w:p>
      <w:pPr>
        <w:pStyle w:val="Ttulo2"/>
      </w:pPr>
      <w:r>
        <w:rPr>
          <w:rStyle w:val="SectionNumber"/>
        </w:rPr>
        <w:t xml:space="preserve">3.3</w:t>
      </w:r>
      <w:r>
        <w:tab/>
      </w:r>
      <w:r>
        <w:t xml:space="preserve">Estrategia de análisis</w:t>
      </w:r>
    </w:p>
    <w:bookmarkStart w:id="44" w:name="análisis-descriptivo"/>
    <w:p>
      <w:pPr>
        <w:pStyle w:val="Ttulo3"/>
      </w:pPr>
      <w:r>
        <w:t xml:space="preserve">Análisis descriptivo</w:t>
      </w:r>
    </w:p>
    <w:p>
      <w:pPr>
        <w:pStyle w:val="FirstParagraph"/>
      </w:pPr>
      <w:r>
        <w:t xml:space="preserve">Para determinar los niveles de apoyo a la democracia delegativa en Chile, se llevó a cabo un análisis descriptivo univariado que calculó el promedio y examinó la distribución del indicador construido. Además, se realizó un análisis bivariado para identificar posibles asociaciones entre el constructo y variables sociodemográficas, como el sexo, la edad y el nivel educativo</w:t>
      </w:r>
    </w:p>
    <w:bookmarkEnd w:id="44"/>
    <w:bookmarkStart w:id="45"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pPr>
        <w:pStyle w:val="Textoindependiente"/>
      </w:pPr>
      <w:r>
        <w:t xml:space="preserve">El análisis de clases latentes se considera como una</w:t>
      </w:r>
      <w:r>
        <w:t xml:space="preserve"> </w:t>
      </w:r>
      <w:r>
        <w:rPr>
          <w:iCs/>
          <w:i/>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w:t>
      </w:r>
      <w:r>
        <w:t xml:space="preserve"> </w:t>
      </w:r>
      <w:r>
        <w:t xml:space="preserve">(</w:t>
      </w:r>
      <w:hyperlink w:anchor="ref-bergman2015">
        <w:r>
          <w:rPr>
            <w:rStyle w:val="Hipervnculo"/>
          </w:rPr>
          <w:t xml:space="preserve">Bergman &amp; Lundh, 2015</w:t>
        </w:r>
      </w:hyperlink>
      <w:r>
        <w:t xml:space="preserve">)</w:t>
      </w:r>
      <w:r>
        <w:t xml:space="preserve">.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Una técnica similar al LCA que ha sido utilizada previamente en estudios similares</w:t>
      </w:r>
      <w:r>
        <w:t xml:space="preserve"> </w:t>
      </w:r>
      <w:r>
        <w:t xml:space="preserve">(</w:t>
      </w:r>
      <w:hyperlink w:anchor="ref-rojas2008">
        <w:r>
          <w:rPr>
            <w:rStyle w:val="Hipervnculo"/>
          </w:rPr>
          <w:t xml:space="preserve">Rojas-Méndez et al., 2008</w:t>
        </w:r>
      </w:hyperlink>
      <w:r>
        <w:t xml:space="preserve">)</w:t>
      </w:r>
      <w:r>
        <w:t xml:space="preserve"> </w:t>
      </w:r>
      <w:r>
        <w:t xml:space="preserve">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w:t>
      </w:r>
      <w:r>
        <w:t xml:space="preserve"> </w:t>
      </w:r>
      <w:r>
        <w:t xml:space="preserve">(</w:t>
      </w:r>
      <w:hyperlink w:anchor="ref-magidson2002">
        <w:r>
          <w:rPr>
            <w:rStyle w:val="Hipervnculo"/>
          </w:rPr>
          <w:t xml:space="preserve">Magidson &amp; Vermunt, 2002</w:t>
        </w:r>
      </w:hyperlink>
      <w:r>
        <w:t xml:space="preserve">)</w:t>
      </w:r>
      <w:r>
        <w:t xml:space="preserve">. Además, Magidson y Vermunt</w:t>
      </w:r>
      <w:r>
        <w:t xml:space="preserve"> </w:t>
      </w:r>
      <w:r>
        <w:t xml:space="preserve">(</w:t>
      </w:r>
      <w:hyperlink w:anchor="ref-magidson2002">
        <w:r>
          <w:rPr>
            <w:rStyle w:val="Hipervnculo"/>
          </w:rPr>
          <w:t xml:space="preserve">2002</w:t>
        </w:r>
      </w:hyperlink>
      <w:r>
        <w:t xml:space="preserve">)</w:t>
      </w:r>
      <w:r>
        <w:t xml:space="preserve"> </w:t>
      </w:r>
      <w:r>
        <w:t xml:space="preserve">enumeran otras ventajas del LCA sobre el análisis de conglomerados, como la capacidad para determinar de manera más exacta el número de clases y predecir con mayor precisión la membresía de los casos.</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45"/>
    <w:bookmarkStart w:id="46"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la democracia delegativa se realizó, en primer lugar, un ANOVA con el fin de determinar si existen diferencias significativas en las medias de apoyo a la democracia delegativa para cada grupo de individualismo.</w:t>
      </w:r>
    </w:p>
    <w:p>
      <w:pPr>
        <w:pStyle w:val="Textoindependiente"/>
      </w:pPr>
      <w:r>
        <w:t xml:space="preserve">Una vez comprobadas esas diferencias, se realizó un modelo de regresión lineal para establecer la relación entre los perfiles de individualismo y el nivel apoyo a la democracia delegativa.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A</m:t>
          </m:r>
          <m:r>
            <m:t>p</m:t>
          </m:r>
          <m:r>
            <m:t>o</m:t>
          </m:r>
          <m:r>
            <m:t>y</m:t>
          </m:r>
          <m:r>
            <m:t>o</m:t>
          </m:r>
          <m:r>
            <m:t>D</m:t>
          </m:r>
          <m:r>
            <m:t>e</m:t>
          </m:r>
          <m:r>
            <m:t>m</m:t>
          </m:r>
          <m:r>
            <m:t>o</m:t>
          </m:r>
          <m:r>
            <m:t>c</m:t>
          </m:r>
          <m:r>
            <m:t>r</m:t>
          </m:r>
          <m:r>
            <m:t>a</m:t>
          </m:r>
          <m:r>
            <m:t>c</m:t>
          </m:r>
          <m:r>
            <m:t>i</m:t>
          </m:r>
          <m:r>
            <m:t>a</m:t>
          </m:r>
          <m:r>
            <m:t>D</m:t>
          </m:r>
          <m:r>
            <m:t>e</m:t>
          </m:r>
          <m:r>
            <m:t>l</m:t>
          </m:r>
          <m:r>
            <m:t>e</m:t>
          </m:r>
          <m:r>
            <m:t>g</m:t>
          </m:r>
          <m:r>
            <m:t>a</m:t>
          </m:r>
          <m:r>
            <m:t>t</m:t>
          </m:r>
          <m:r>
            <m:t>i</m:t>
          </m:r>
          <m:r>
            <m:t>v</m:t>
          </m:r>
          <m:r>
            <m:t>a</m:t>
          </m:r>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p>
      <w:pPr>
        <w:pStyle w:val="Textoindependiente"/>
      </w:pPr>
      <w:r>
        <w:t xml:space="preserve">Además, se realizaron dos modelos de regresión logística, uno para cada componente del apoyo a la democracia delegativa con el propósito de conocer mejor como éstos se comportan por separado. Los modelos quedaron definidos por la siguiente fórmula para el caso del apoyo a un líder fuerte:</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Y por la siguiente para el apoyo a que expertos tomen decisiones:</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e</m:t>
                      </m:r>
                      <m:r>
                        <m:t>x</m:t>
                      </m:r>
                      <m:r>
                        <m:t>p</m:t>
                      </m:r>
                      <m:r>
                        <m:t>e</m:t>
                      </m:r>
                      <m:r>
                        <m:t>r</m:t>
                      </m:r>
                      <m:r>
                        <m:t>t</m:t>
                      </m:r>
                      <m:r>
                        <m:t>o</m:t>
                      </m:r>
                      <m:r>
                        <m:t>s</m:t>
                      </m:r>
                    </m:sub>
                  </m:sSub>
                </m:num>
                <m:den>
                  <m:r>
                    <m:t>1</m:t>
                  </m:r>
                  <m:r>
                    <m:rPr>
                      <m:sty m:val="p"/>
                    </m:rPr>
                    <m:t>−</m:t>
                  </m:r>
                  <m:sSub>
                    <m:e>
                      <m:r>
                        <m:t>π</m:t>
                      </m:r>
                    </m:e>
                    <m:sub>
                      <m:r>
                        <m:t>a</m:t>
                      </m:r>
                      <m:r>
                        <m:t>p</m:t>
                      </m:r>
                      <m:r>
                        <m:t>o</m:t>
                      </m:r>
                      <m:r>
                        <m:t>y</m:t>
                      </m:r>
                      <m:r>
                        <m:t>a</m:t>
                      </m:r>
                      <m:r>
                        <m:rPr>
                          <m:sty m:val="p"/>
                        </m:rPr>
                        <m:t>_</m:t>
                      </m:r>
                      <m:r>
                        <m:t>e</m:t>
                      </m:r>
                      <m:r>
                        <m:t>x</m:t>
                      </m:r>
                      <m:r>
                        <m:t>p</m:t>
                      </m:r>
                      <m:r>
                        <m:t>e</m:t>
                      </m:r>
                      <m:r>
                        <m:t>r</m:t>
                      </m:r>
                      <m:r>
                        <m:t>t</m:t>
                      </m:r>
                      <m:r>
                        <m:t>o</m:t>
                      </m:r>
                      <m:r>
                        <m:t>s</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bookmarkEnd w:id="46"/>
    <w:bookmarkEnd w:id="47"/>
    <w:bookmarkEnd w:id="48"/>
    <w:bookmarkStart w:id="79" w:name="resultados"/>
    <w:p>
      <w:pPr>
        <w:pStyle w:val="Ttulo1"/>
      </w:pPr>
      <w:r>
        <w:rPr>
          <w:rStyle w:val="SectionNumber"/>
        </w:rPr>
        <w:t xml:space="preserve">4</w:t>
      </w:r>
      <w:r>
        <w:tab/>
      </w:r>
      <w:r>
        <w:t xml:space="preserve">Resultados</w:t>
      </w:r>
    </w:p>
    <w:bookmarkStart w:id="54" w:name="apoyo-a-la-democracia-delegativa"/>
    <w:p>
      <w:pPr>
        <w:pStyle w:val="Ttulo2"/>
      </w:pPr>
      <w:r>
        <w:rPr>
          <w:rStyle w:val="SectionNumber"/>
        </w:rPr>
        <w:t xml:space="preserve">4.1</w:t>
      </w:r>
      <w:r>
        <w:tab/>
      </w:r>
      <w:r>
        <w:t xml:space="preserve">Apoyo a la Democracia Delegativa</w:t>
      </w:r>
    </w:p>
    <w:p>
      <w:pPr>
        <w:pStyle w:val="FirstParagraph"/>
      </w:pPr>
      <w:r>
        <w:t xml:space="preserve">En primer lugar, se procederá a describir los niveles de apoyo a la democracia delegativa en Chile. La Tabla 4.1 resume la distribución de los dos ítems seleccionados, con los niveles de apoyo observados en ambos indicadores situados en un rango intermedio. En esa línea, el 44% de la población considera que es bueno o muy bueno contar con un líder fuerte que no tome en cuenta al parlamento. Por otro lado, la valoración de que sean los expertos quienes tomen decisiones para el país cuenta con un nivel de apoyo ligeramente superior, alcanzando el 49%.</w:t>
      </w:r>
    </w:p>
    <w:p>
      <w:pPr>
        <w:pStyle w:val="TableCaption"/>
      </w:pPr>
      <w:bookmarkStart w:id="49" w:name="tab:unnamed-chunk-6"/>
      <w:bookmarkEnd w:id="49"/>
      <w:r>
        <w:t xml:space="preserve">Tabla 4.1:</w:t>
      </w:r>
      <w:r>
        <w:t xml:space="preserve"> </w:t>
      </w:r>
      <w:r>
        <w:t xml:space="preserve">Apoyo a Líderes Fuertes y Expertos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Bueno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Malo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17,58</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p>
      <w:pPr>
        <w:pStyle w:val="Textoindependiente"/>
      </w:pPr>
      <w:r>
        <w:t xml:space="preserve">Al construir el índice de apoyo a la democracia delegativa, el promedio se sitúa en 2,39 (</w:t>
      </w:r>
      <m:oMath>
        <m:r>
          <m:t>s</m:t>
        </m:r>
      </m:oMath>
      <w:r>
        <w:t xml:space="preserve"> </w:t>
      </w:r>
      <w:r>
        <w:t xml:space="preserve">= 0,8) en una escala del 1 al 4, donde 1 representa un menor apoyo y 4 un mayor apoyo. Este valor promedio se encuentra en una posición intermedia, lo cual concuerda con el comportamiento observado en los indicadores individuales. Como se ilustra en la Figura 4.1, el 68% de los casos se sitúa en el rango entre 2 y 3.</w:t>
      </w:r>
    </w:p>
    <w:p>
      <w:pPr>
        <w:pStyle w:val="Textoindependiente"/>
      </w:pPr>
      <w:r>
        <w:drawing>
          <wp:inline>
            <wp:extent cx="5600700" cy="4480560"/>
            <wp:effectExtent b="0" l="0" r="0" t="0"/>
            <wp:docPr descr="Figura 4.1: Distribución Apoyo a Democracia Delegativa"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Los grupos sociodemográficos que muestran un mayor respaldo a la democracia delegativa son las personas que se identifican políticamente de derecha (</w:t>
      </w:r>
      <m:oMath>
        <m:acc>
          <m:accPr>
            <m:chr m:val="‾"/>
          </m:accPr>
          <m:e>
            <m:r>
              <m:t>x</m:t>
            </m:r>
          </m:e>
        </m:acc>
      </m:oMath>
      <w:r>
        <w:t xml:space="preserve">=2,66,</w:t>
      </w:r>
      <w:r>
        <w:t xml:space="preserve"> </w:t>
      </w:r>
      <m:oMath>
        <m:r>
          <m:t>s</m:t>
        </m:r>
      </m:oMath>
      <w:r>
        <w:t xml:space="preserve">=0,99), con ingresos subjetivos medios-altos</w:t>
      </w:r>
      <w:r>
        <w:rPr>
          <w:rStyle w:val="Refdenotaalpie"/>
        </w:rPr>
        <w:footnoteReference w:id="53"/>
      </w:r>
      <w:r>
        <w:t xml:space="preserve"> </w:t>
      </w:r>
      <w:r>
        <w:t xml:space="preserve">(</w:t>
      </w:r>
      <m:oMath>
        <m:acc>
          <m:accPr>
            <m:chr m:val="‾"/>
          </m:accPr>
          <m:e>
            <m:r>
              <m:t>x</m:t>
            </m:r>
          </m:e>
        </m:acc>
      </m:oMath>
      <w:r>
        <w:t xml:space="preserve">=2,5,</w:t>
      </w:r>
      <w:r>
        <w:t xml:space="preserve"> </w:t>
      </w:r>
      <m:oMath>
        <m:r>
          <m:t>s</m:t>
        </m:r>
      </m:oMath>
      <w:r>
        <w:t xml:space="preserve">=0,84), aquellas que se identifican como evangélicas (</w:t>
      </w:r>
      <m:oMath>
        <m:acc>
          <m:accPr>
            <m:chr m:val="‾"/>
          </m:accPr>
          <m:e>
            <m:r>
              <m:t>x</m:t>
            </m:r>
          </m:e>
        </m:acc>
      </m:oMath>
      <w:r>
        <w:t xml:space="preserve">=2,48,</w:t>
      </w:r>
      <w:r>
        <w:t xml:space="preserve"> </w:t>
      </w:r>
      <m:oMath>
        <m:r>
          <m:t>s</m:t>
        </m:r>
      </m:oMath>
      <w:r>
        <w:t xml:space="preserve">=0,84) o católicas (</w:t>
      </w:r>
      <m:oMath>
        <m:acc>
          <m:accPr>
            <m:chr m:val="‾"/>
          </m:accPr>
          <m:e>
            <m:r>
              <m:t>x</m:t>
            </m:r>
          </m:e>
        </m:acc>
      </m:oMath>
      <w:r>
        <w:t xml:space="preserve">=2,44,</w:t>
      </w:r>
      <w:r>
        <w:t xml:space="preserve"> </w:t>
      </w:r>
      <m:oMath>
        <m:r>
          <m:t>s</m:t>
        </m:r>
      </m:oMath>
      <w:r>
        <w:t xml:space="preserve">=0,78), las que no se identifican con ninguna posición política (</w:t>
      </w:r>
      <m:oMath>
        <m:acc>
          <m:accPr>
            <m:chr m:val="‾"/>
          </m:accPr>
          <m:e>
            <m:r>
              <m:t>x</m:t>
            </m:r>
          </m:e>
        </m:acc>
      </m:oMath>
      <w:r>
        <w:t xml:space="preserve">=2,43,</w:t>
      </w:r>
      <w:r>
        <w:t xml:space="preserve"> </w:t>
      </w:r>
      <m:oMath>
        <m:r>
          <m:t>s</m:t>
        </m:r>
      </m:oMath>
      <w:r>
        <w:t xml:space="preserve">=0,78), y las personas con edades comprendidas entre los 30 y los 44 años (</w:t>
      </w:r>
      <m:oMath>
        <m:acc>
          <m:accPr>
            <m:chr m:val="‾"/>
          </m:accPr>
          <m:e>
            <m:r>
              <m:t>x</m:t>
            </m:r>
          </m:e>
        </m:acc>
      </m:oMath>
      <w:r>
        <w:t xml:space="preserve">=2,46,</w:t>
      </w:r>
      <w:r>
        <w:t xml:space="preserve"> </w:t>
      </w:r>
      <m:oMath>
        <m:r>
          <m:t>s</m:t>
        </m:r>
      </m:oMath>
      <w:r>
        <w:t xml:space="preserve">=0,75). Por otro lado, en el extremo opuesto, se encuentran a las personas con ingresos subjetivos bajos (</w:t>
      </w:r>
      <m:oMath>
        <m:acc>
          <m:accPr>
            <m:chr m:val="‾"/>
          </m:accPr>
          <m:e>
            <m:r>
              <m:t>x</m:t>
            </m:r>
          </m:e>
        </m:acc>
      </m:oMath>
      <w:r>
        <w:t xml:space="preserve">=2,22,</w:t>
      </w:r>
      <w:r>
        <w:t xml:space="preserve"> </w:t>
      </w:r>
      <m:oMath>
        <m:r>
          <m:t>s</m:t>
        </m:r>
      </m:oMath>
      <w:r>
        <w:t xml:space="preserve">=0,81), sin afiliación religiosa (</w:t>
      </w:r>
      <m:oMath>
        <m:acc>
          <m:accPr>
            <m:chr m:val="‾"/>
          </m:accPr>
          <m:e>
            <m:r>
              <m:t>x</m:t>
            </m:r>
          </m:e>
        </m:acc>
      </m:oMath>
      <w:r>
        <w:t xml:space="preserve">=2,24,</w:t>
      </w:r>
      <w:r>
        <w:t xml:space="preserve"> </w:t>
      </w:r>
      <m:oMath>
        <m:r>
          <m:t>s</m:t>
        </m:r>
      </m:oMath>
      <w:r>
        <w:t xml:space="preserve">=0,83), aquellos políticamente identificados con la centro derecha (</w:t>
      </w:r>
      <m:oMath>
        <m:acc>
          <m:accPr>
            <m:chr m:val="‾"/>
          </m:accPr>
          <m:e>
            <m:r>
              <m:t>x</m:t>
            </m:r>
          </m:e>
        </m:acc>
      </m:oMath>
      <w:r>
        <w:t xml:space="preserve">=2,3,</w:t>
      </w:r>
      <w:r>
        <w:t xml:space="preserve"> </w:t>
      </w:r>
      <m:oMath>
        <m:r>
          <m:t>s</m:t>
        </m:r>
      </m:oMath>
      <w:r>
        <w:t xml:space="preserve">=0,99), los mayores de 60 años (</w:t>
      </w:r>
      <m:oMath>
        <m:acc>
          <m:accPr>
            <m:chr m:val="‾"/>
          </m:accPr>
          <m:e>
            <m:r>
              <m:t>x</m:t>
            </m:r>
          </m:e>
        </m:acc>
      </m:oMath>
      <w:r>
        <w:t xml:space="preserve">=2,31,</w:t>
      </w:r>
      <w:r>
        <w:t xml:space="preserve"> </w:t>
      </w:r>
      <m:oMath>
        <m:r>
          <m:t>s</m:t>
        </m:r>
      </m:oMath>
      <w:r>
        <w:t xml:space="preserve">=0,82), y las personas con ingresos subjetivos altos (</w:t>
      </w:r>
      <m:oMath>
        <m:acc>
          <m:accPr>
            <m:chr m:val="‾"/>
          </m:accPr>
          <m:e>
            <m:r>
              <m:t>x</m:t>
            </m:r>
          </m:e>
        </m:acc>
      </m:oMath>
      <w:r>
        <w:t xml:space="preserve">=2,32).</w:t>
      </w:r>
    </w:p>
    <w:bookmarkEnd w:id="54"/>
    <w:bookmarkStart w:id="74" w:name="análisis-de-clases-latentes-1"/>
    <w:p>
      <w:pPr>
        <w:pStyle w:val="Ttulo2"/>
      </w:pPr>
      <w:r>
        <w:rPr>
          <w:rStyle w:val="SectionNumber"/>
        </w:rPr>
        <w:t xml:space="preserve">4.2</w:t>
      </w:r>
      <w:r>
        <w:tab/>
      </w:r>
      <w:r>
        <w:t xml:space="preserve">Análisis de Clases Latentes</w:t>
      </w:r>
    </w:p>
    <w:bookmarkStart w:id="58" w:name="análisis-descriptivo-1"/>
    <w:p>
      <w:pPr>
        <w:pStyle w:val="Ttulo3"/>
      </w:pPr>
      <w:r>
        <w:t xml:space="preserve">Análisis Descriptivo</w:t>
      </w:r>
    </w:p>
    <w:p>
      <w:pPr>
        <w:pStyle w:val="FirstParagraph"/>
      </w:pPr>
      <w:r>
        <w:drawing>
          <wp:inline>
            <wp:extent cx="5600700" cy="4480560"/>
            <wp:effectExtent b="0" l="0" r="0" t="0"/>
            <wp:docPr descr="Figura 4.2: Distribución indicadores de individualismo (recodificados)" title="" id="56" name="Picture"/>
            <a:graphic>
              <a:graphicData uri="http://schemas.openxmlformats.org/drawingml/2006/picture">
                <pic:pic>
                  <pic:nvPicPr>
                    <pic:cNvPr descr="tesis_files/figure-docx/unnamed-chunk-8-1.png" id="57" name="Picture"/>
                    <pic:cNvPicPr>
                      <a:picLocks noChangeArrowheads="1" noChangeAspect="1"/>
                    </pic:cNvPicPr>
                  </pic:nvPicPr>
                  <pic:blipFill>
                    <a:blip r:embed="rId5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8"/>
    <w:bookmarkStart w:id="73"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que se muestran en la Figura 4.3,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drawing>
          <wp:inline>
            <wp:extent cx="5600700" cy="4480560"/>
            <wp:effectExtent b="0" l="0" r="0" t="0"/>
            <wp:docPr descr="Figura 4.3: Ajuste Estadístico de Modelos Estimados" title="" id="60" name="Picture"/>
            <a:graphic>
              <a:graphicData uri="http://schemas.openxmlformats.org/drawingml/2006/picture">
                <pic:pic>
                  <pic:nvPicPr>
                    <pic:cNvPr descr="tesis_files/figure-docx/unnamed-chunk-9-1.png" id="61" name="Picture"/>
                    <pic:cNvPicPr>
                      <a:picLocks noChangeArrowheads="1" noChangeAspect="1"/>
                    </pic:cNvPicPr>
                  </pic:nvPicPr>
                  <pic:blipFill>
                    <a:blip r:embed="rId59"/>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Debido a las diferencias en las penalizaciones incorporadas en sus cálculos, cada indicador puede llevar a conclusiones diferentes: mientras que el BIC sugiere un modelo de 4 clases, el AIC apunta hacia uno de 6. Es importante señalar que se ha observado que el BIC puede predecir de manera más precisa el número de clases que el AIC, especialmente en muestras con más de 300 casos</w:t>
      </w:r>
      <w:r>
        <w:t xml:space="preserve"> </w:t>
      </w:r>
      <w:r>
        <w:t xml:space="preserve">(</w:t>
      </w:r>
      <w:hyperlink w:anchor="ref-nylund2007">
        <w:r>
          <w:rPr>
            <w:rStyle w:val="Hipervnculo"/>
          </w:rPr>
          <w:t xml:space="preserve">Nylund et al., 2007</w:t>
        </w:r>
      </w:hyperlink>
      <w:r>
        <w:t xml:space="preserve">)</w:t>
      </w:r>
      <w:r>
        <w:t xml:space="preserve">. Además, se deben tener en cuenta criterios sustantivos, como la parsimonia y la interpretabilidad teórica. Por ello, y luego de analizar las distintas configuraciones, se ha optado por el modelo de 4 clases, el cual se presenta a continuación en la Figura 4.4.</w:t>
      </w:r>
    </w:p>
    <w:p>
      <w:pPr>
        <w:pStyle w:val="Textoindependiente"/>
      </w:pPr>
      <w:r>
        <w:drawing>
          <wp:inline>
            <wp:extent cx="5600700" cy="4480560"/>
            <wp:effectExtent b="0" l="0" r="0" t="0"/>
            <wp:docPr descr="Figura 4.4: Modelo de Clases Latentes de Individualismo (4 clases)" title="" id="63" name="Picture"/>
            <a:graphic>
              <a:graphicData uri="http://schemas.openxmlformats.org/drawingml/2006/picture">
                <pic:pic>
                  <pic:nvPicPr>
                    <pic:cNvPr descr="tesis_files/figure-docx/unnamed-chunk-10-1.png" id="64" name="Picture"/>
                    <pic:cNvPicPr>
                      <a:picLocks noChangeArrowheads="1" noChangeAspect="1"/>
                    </pic:cNvPicPr>
                  </pic:nvPicPr>
                  <pic:blipFill>
                    <a:blip r:embed="rId62"/>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5: Distribución estimada Clases Latentes" title="" id="66" name="Picture"/>
            <a:graphic>
              <a:graphicData uri="http://schemas.openxmlformats.org/drawingml/2006/picture">
                <pic:pic>
                  <pic:nvPicPr>
                    <pic:cNvPr descr="tesis_files/figure-docx/unnamed-chunk-11-1.png" id="67" name="Picture"/>
                    <pic:cNvPicPr>
                      <a:picLocks noChangeArrowheads="1" noChangeAspect="1"/>
                    </pic:cNvPicPr>
                  </pic:nvPicPr>
                  <pic:blipFill>
                    <a:blip r:embed="rId6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w:t>
      </w:r>
      <w:r>
        <w:t xml:space="preserve"> </w:t>
      </w:r>
      <w:r>
        <w:rPr>
          <w:rStyle w:val="Refdenotaalpie"/>
        </w:rPr>
        <w:footnoteReference w:id="68"/>
      </w:r>
      <w:r>
        <w:t xml:space="preserve">.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Siguiendo el trabajo de Araujo y Martuccelli</w:t>
      </w:r>
      <w:r>
        <w:t xml:space="preserve"> </w:t>
      </w:r>
      <w:r>
        <w:t xml:space="preserve">(</w:t>
      </w:r>
      <w:hyperlink w:anchor="ref-araujo2012">
        <w:r>
          <w:rPr>
            <w:rStyle w:val="Hipervnculo"/>
          </w:rPr>
          <w:t xml:space="preserve">2012</w:t>
        </w:r>
      </w:hyperlink>
      <w:r>
        <w:t xml:space="preserve">)</w:t>
      </w:r>
      <w:r>
        <w:t xml:space="preserve">, esto grupo enfatizaría la confianza depositada en sus propias habilidades, lo que los llevaría a legitimar en mayor medida acciones que transgreden normas sociales para obtener beneficios personales. Por esta razón, se ha decidido denominar a este perfil como</w:t>
      </w:r>
      <w:r>
        <w:t xml:space="preserve"> </w:t>
      </w:r>
      <w:r>
        <w:rPr>
          <w:bCs/>
          <w:b/>
        </w:rPr>
        <w:t xml:space="preserve">individualismo agéntico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6: Resumen Perfiles de Individualismo" title="" id="70" name="Picture"/>
            <a:graphic>
              <a:graphicData uri="http://schemas.openxmlformats.org/drawingml/2006/picture">
                <pic:pic>
                  <pic:nvPicPr>
                    <pic:cNvPr descr="images/fig_esferas.png" id="71" name="Picture"/>
                    <pic:cNvPicPr>
                      <a:picLocks noChangeArrowheads="1" noChangeAspect="1"/>
                    </pic:cNvPicPr>
                  </pic:nvPicPr>
                  <pic:blipFill>
                    <a:blip r:embed="rId69"/>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72" w:name="fig:nombre"/>
      <w:bookmarkEnd w:id="72"/>
      <w:r>
        <w:t xml:space="preserve">Figura 4.6: Resumen Perfiles de Individualismo</w:t>
      </w:r>
    </w:p>
    <w:bookmarkEnd w:id="73"/>
    <w:bookmarkEnd w:id="74"/>
    <w:bookmarkStart w:id="7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4.2, se presenta el promedio de apoyo a la democracia delegativa para cada perfil de individualismo identificado. Se puede observar que el grupo del Individualismo Agéntico muestra los mayores niveles de apoyo (</w:t>
      </w:r>
      <m:oMath>
        <m:acc>
          <m:accPr>
            <m:chr m:val="‾"/>
          </m:accPr>
          <m:e>
            <m:r>
              <m:t>x</m:t>
            </m:r>
          </m:e>
        </m:acc>
      </m:oMath>
      <w:r>
        <w:t xml:space="preserve">=2,64,</w:t>
      </w:r>
      <w:r>
        <w:t xml:space="preserve"> </w:t>
      </w:r>
      <m:oMath>
        <m:r>
          <m:t>s</m:t>
        </m:r>
      </m:oMath>
      <w:r>
        <w:t xml:space="preserve">=0,77), seguido por el Individualismo Autoritario (</w:t>
      </w:r>
      <m:oMath>
        <m:acc>
          <m:accPr>
            <m:chr m:val="‾"/>
          </m:accPr>
          <m:e>
            <m:r>
              <m:t>x</m:t>
            </m:r>
          </m:e>
        </m:acc>
      </m:oMath>
      <w:r>
        <w:t xml:space="preserve">=2,58,</w:t>
      </w:r>
      <w:r>
        <w:t xml:space="preserve"> </w:t>
      </w:r>
      <m:oMath>
        <m:r>
          <m:t>s</m:t>
        </m:r>
      </m:oMath>
      <w:r>
        <w:t xml:space="preserve">=0,68). En el extremo opuesto, se encuentra el Individualismo Conservador (</w:t>
      </w:r>
      <m:oMath>
        <m:acc>
          <m:accPr>
            <m:chr m:val="‾"/>
          </m:accPr>
          <m:e>
            <m:r>
              <m:t>x</m:t>
            </m:r>
          </m:e>
        </m:acc>
      </m:oMath>
      <w:r>
        <w:t xml:space="preserve">=2,13,</w:t>
      </w:r>
      <w:r>
        <w:t xml:space="preserve"> </w:t>
      </w:r>
      <m:oMath>
        <m:r>
          <m:t>s</m:t>
        </m:r>
      </m:oMath>
      <w:r>
        <w:t xml:space="preserve">=0,8), mientras que el Individualismo liberal se sitúa en torno al promedio.</w:t>
      </w:r>
    </w:p>
    <w:p>
      <w:pPr>
        <w:pStyle w:val="TableCaption"/>
      </w:pPr>
      <w:bookmarkStart w:id="75" w:name="tab:unnamed-chunk-12"/>
      <w:bookmarkEnd w:id="75"/>
      <w:r>
        <w:t xml:space="preserve">Tabla 4.2:</w:t>
      </w:r>
      <w:r>
        <w:t xml:space="preserve"> </w:t>
      </w:r>
      <w:r>
        <w:t xml:space="preserve">Promedio Apoyo a Democracia Delegativa por perfiles de individualismo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Expertos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Democracia Delegativa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Agéntico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bl>
    <w:p>
      <w:pPr>
        <w:pStyle w:val="Textoindependiente"/>
      </w:pPr>
      <w:r>
        <w:t xml:space="preserve">Cabe destacar que la diferencia entre el Individualismo Agéntico y el Individualismo Autoritario se debe principalmente al apoyo a que los expertos tomen decisiones políticas. Así, mientras el apoyo a un liderazgo fuerte es idéntico en ambos perfiles (</w:t>
      </w:r>
      <m:oMath>
        <m:acc>
          <m:accPr>
            <m:chr m:val="‾"/>
          </m:accPr>
          <m:e>
            <m:r>
              <m:t>x</m:t>
            </m:r>
          </m:e>
        </m:acc>
      </m:oMath>
      <w:r>
        <w:t xml:space="preserve">=2,56), el apoyo a los expertos es superior entre los miembros del Individualismo Agéntico (</w:t>
      </w:r>
      <m:oMath>
        <m:acc>
          <m:accPr>
            <m:chr m:val="‾"/>
          </m:accPr>
          <m:e>
            <m:r>
              <m:t>x</m:t>
            </m:r>
          </m:e>
        </m:acc>
      </m:oMath>
      <w:r>
        <w:t xml:space="preserve">=2,69,</w:t>
      </w:r>
      <w:r>
        <w:t xml:space="preserve"> </w:t>
      </w:r>
      <m:oMath>
        <m:r>
          <m:t>s</m:t>
        </m:r>
      </m:oMath>
      <w:r>
        <w:t xml:space="preserve">=0,86).</w:t>
      </w:r>
    </w:p>
    <w:p>
      <w:pPr>
        <w:pStyle w:val="Textoindependiente"/>
      </w:pPr>
      <w:r>
        <w:t xml:space="preserve">Como paso previo, se realizó un ANOVA para comprobar si existen diferencias significativas en las medias del apoyo a la democracia delegativa de los perfiles de individualismo. Los resultados apuntan a rechazar la hipótesis nula de que las medias de los grupos son iguales (</w:t>
      </w:r>
      <m:oMath>
        <m:r>
          <m:t>F</m:t>
        </m:r>
      </m:oMath>
      <w:r>
        <w:t xml:space="preserve">= 12,8;</w:t>
      </w:r>
      <w:r>
        <w:t xml:space="preserve"> </w:t>
      </w:r>
      <m:oMath>
        <m:r>
          <m:t>p</m:t>
        </m:r>
      </m:oMath>
      <w:r>
        <w:t xml:space="preserve">&lt;0,001). De tal modo, se procederá a estimar un modelo de regresión lineal que permita establecer si estas diferencias se mantienen una vez controladas por otras variables.</w:t>
      </w:r>
    </w:p>
    <w:p>
      <w:pPr>
        <w:pStyle w:val="Textoindependiente"/>
      </w:pPr>
      <w:r>
        <w:t xml:space="preserve">En la Tabla 4.3, se presentan los modelos estimados para predecir el apoyo a la democracia delegativa.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grupos. De este modo, parece haber evidencia de una relación entre el individualismo y el apoyo a la democracia delegativa. En relación a ser un individualista conservador, ser un individualista autoritario (</w:t>
      </w:r>
      <m:oMath>
        <m:r>
          <m:t>β</m:t>
        </m:r>
      </m:oMath>
      <w:r>
        <w:t xml:space="preserve">= 0,44;</w:t>
      </w:r>
      <w:r>
        <w:t xml:space="preserve"> </w:t>
      </w:r>
      <m:oMath>
        <m:r>
          <m:t>p</m:t>
        </m:r>
      </m:oMath>
      <w:r>
        <w:t xml:space="preserve">&lt;0,001), un individualista agéntico (</w:t>
      </w:r>
      <m:oMath>
        <m:r>
          <m:t>β</m:t>
        </m:r>
      </m:oMath>
      <w:r>
        <w:t xml:space="preserve">= 0,30;</w:t>
      </w:r>
      <w:r>
        <w:t xml:space="preserve"> </w:t>
      </w:r>
      <m:oMath>
        <m:r>
          <m:t>p</m:t>
        </m:r>
      </m:oMath>
      <w:r>
        <w:t xml:space="preserve">&lt;0,001), o un individualista liberal (</w:t>
      </w:r>
      <m:oMath>
        <m:r>
          <m:t>β</m:t>
        </m:r>
      </m:oMath>
      <w:r>
        <w:t xml:space="preserve">= 0,21;</w:t>
      </w:r>
      <w:r>
        <w:t xml:space="preserve"> </w:t>
      </w:r>
      <m:oMath>
        <m:r>
          <m:t>p</m:t>
        </m:r>
      </m:oMath>
      <w:r>
        <w:t xml:space="preserve">&lt;0,05) está asociado con un efecto positivo y significativo en el apoyo a la democracia delegativa. En conjunto, el individualismo explicaría el 5% de la varianza en el apoyo a la democracia delegativa.</w:t>
      </w:r>
    </w:p>
    <w:p>
      <w:pPr>
        <w:pStyle w:val="TableCaption"/>
      </w:pPr>
      <w:bookmarkStart w:id="76" w:name="tab:unnamed-chunk-13"/>
      <w:bookmarkEnd w:id="76"/>
      <w:r>
        <w:t xml:space="preserve">Tabla 4.3:</w:t>
      </w:r>
      <w:r>
        <w:t xml:space="preserve"> </w:t>
      </w:r>
      <w:r>
        <w:t xml:space="preserve">Comparación Modelos de Regresión Lineal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0.151</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 Ajustado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0.119</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El Modelo 2 incluye únicamente las variables de control como predictoras. De esta manera, se observa que ni el género ni la edad muestran una relación significativa con el apoyo a la democracia delegativa. Sin embargo, vivir en zonas rurales (</w:t>
      </w:r>
      <m:oMath>
        <m:r>
          <m:t>β</m:t>
        </m:r>
      </m:oMath>
      <w:r>
        <w:t xml:space="preserve">= -0,31;</w:t>
      </w:r>
      <w:r>
        <w:t xml:space="preserve"> </w:t>
      </w:r>
      <m:oMath>
        <m:r>
          <m:t>p</m:t>
        </m:r>
      </m:oMath>
      <w:r>
        <w:t xml:space="preserve">&lt;0,01) o en ciudades de menos de 100,000 habitantes (</w:t>
      </w:r>
      <m:oMath>
        <m:r>
          <m:t>β</m:t>
        </m:r>
      </m:oMath>
      <w:r>
        <w:t xml:space="preserve">= -0,36;</w:t>
      </w:r>
      <w:r>
        <w:t xml:space="preserve"> </w:t>
      </w:r>
      <m:oMath>
        <m:r>
          <m:t>p</m:t>
        </m:r>
      </m:oMath>
      <w:r>
        <w:t xml:space="preserve">&lt;0,001), así como identificarse políticamente como de centro-derecha (</w:t>
      </w:r>
      <m:oMath>
        <m:r>
          <m:t>β</m:t>
        </m:r>
      </m:oMath>
      <w:r>
        <w:t xml:space="preserve">= -0,32;</w:t>
      </w:r>
      <w:r>
        <w:t xml:space="preserve"> </w:t>
      </w:r>
      <m:oMath>
        <m:r>
          <m:t>p</m:t>
        </m:r>
      </m:oMath>
      <w:r>
        <w:t xml:space="preserve">&lt;0,01) está asociado con un efecto negativo y significativo sobre el apoyo a la democracia delegativa. Por otro lado, el nivel de ingresos subjetivo (</w:t>
      </w:r>
      <m:oMath>
        <m:r>
          <m:t>β</m:t>
        </m:r>
      </m:oMath>
      <w:r>
        <w:t xml:space="preserve">= 0,06;</w:t>
      </w:r>
      <w:r>
        <w:t xml:space="preserve"> </w:t>
      </w:r>
      <m:oMath>
        <m:r>
          <m:t>p</m:t>
        </m:r>
      </m:oMath>
      <w:r>
        <w:t xml:space="preserve">&lt;0,05) y pertenecer a la clase trabajadora (</w:t>
      </w:r>
      <m:oMath>
        <m:r>
          <m:t>β</m:t>
        </m:r>
      </m:oMath>
      <w:r>
        <w:t xml:space="preserve">= 0,29;</w:t>
      </w:r>
      <w:r>
        <w:t xml:space="preserve"> </w:t>
      </w:r>
      <m:oMath>
        <m:r>
          <m:t>p</m:t>
        </m:r>
      </m:oMath>
      <w:r>
        <w:t xml:space="preserve">&lt;0,01) evidencian una relación positiva y significativa con el apoyo a la democracia delegativa. Este modelo explica el 6% de la varianza en el apoyo a la democracia delegativa.</w:t>
      </w:r>
    </w:p>
    <w:p>
      <w:pPr>
        <w:pStyle w:val="Textoindependiente"/>
      </w:pPr>
      <w:r>
        <w:t xml:space="preserve">Finalmente, en el Modelo 3 se incluye tanto la variable categórica de individualismo como las variables de control. La principal diferencia respecto al Modelo 1 es que la asociación entre el apoyo a la democracia delegativa y el individualismo liberal, en relación al individualismo conservador, deja de ser significativa (</w:t>
      </w:r>
      <m:oMath>
        <m:r>
          <m:t>β</m:t>
        </m:r>
      </m:oMath>
      <w:r>
        <w:t xml:space="preserve">= -0,18,</w:t>
      </w:r>
      <w:r>
        <w:t xml:space="preserve"> </w:t>
      </w:r>
      <m:oMath>
        <m:r>
          <m:t>p</m:t>
        </m:r>
      </m:oMath>
      <w:r>
        <w:t xml:space="preserve">=0,075). Posiblemente, esto se deba a su interacción con otras variables de control, particularmente con la identificación política.</w:t>
      </w:r>
    </w:p>
    <w:p>
      <w:pPr>
        <w:pStyle w:val="Textoindependiente"/>
      </w:pPr>
      <w:r>
        <w:t xml:space="preserve">Sin embargo, se mantiene la evidencia a favor de que, una vez controlado por las demás variables y en comparación con ser un individualista conservador, ser un individualista autoritario (</w:t>
      </w:r>
      <m:oMath>
        <m:r>
          <m:t>β</m:t>
        </m:r>
      </m:oMath>
      <w:r>
        <w:t xml:space="preserve">= 0,27,</w:t>
      </w:r>
      <w:r>
        <w:t xml:space="preserve"> </w:t>
      </w:r>
      <m:oMath>
        <m:r>
          <m:t>p</m:t>
        </m:r>
      </m:oMath>
      <w:r>
        <w:t xml:space="preserve">&lt;0,01), o un individualista agéntico (</w:t>
      </w:r>
      <m:oMath>
        <m:r>
          <m:t>β</m:t>
        </m:r>
      </m:oMath>
      <w:r>
        <w:t xml:space="preserve">= 0,33,</w:t>
      </w:r>
      <w:r>
        <w:t xml:space="preserve"> </w:t>
      </w:r>
      <m:oMath>
        <m:r>
          <m:t>p</m:t>
        </m:r>
      </m:oMath>
      <w:r>
        <w:t xml:space="preserve">&lt;0,001), está asociado positivamente al apoyo a la democracia delegativa. En total, este último modelo explica el 12% de la varianza observada en el apoyo a la democracia delegativa.</w:t>
      </w:r>
    </w:p>
    <w:p>
      <w:pPr>
        <w:pStyle w:val="Textoindependiente"/>
      </w:pPr>
      <w:r>
        <w:t xml:space="preserve">Para comprender mejor cómo se comporta esta relación, se realizaron dos modelos de regresión logística, uno para cada indicador que compone el índice de apoyo a la democracia delegativa. Esto se hace con el propósito de establecer si las dimensiones del constructo se asocian de la misma manera con los perfiles de individualismo, o si se diferencias del índice en su conjunto. Se recodificaron las variables de modo que 0 representará un bajo apoyo y 1 un alto apoyo. En la Tabla 4.4, se resumen los resultados obtenidos</w:t>
      </w:r>
    </w:p>
    <w:p>
      <w:pPr>
        <w:pStyle w:val="TableCaption"/>
      </w:pPr>
      <w:bookmarkStart w:id="77" w:name="tab:unnamed-chunk-14"/>
      <w:bookmarkEnd w:id="77"/>
      <w:r>
        <w:t xml:space="preserve">Tabla 4.4:</w:t>
      </w:r>
      <w:r>
        <w:t xml:space="preserve"> </w:t>
      </w:r>
      <w:r>
        <w:t xml:space="preserve">Modelos de Regresión Logística (Estmación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Expertos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Se observa que la asociación positiva entre el individualismo agéntico y el apoyo a la democracia delegativa se mantiene tanto para el apoyo a un líder fuerte (</w:t>
      </w:r>
      <m:oMath>
        <m:r>
          <m:t>O</m:t>
        </m:r>
        <m:r>
          <m:t>R</m:t>
        </m:r>
      </m:oMath>
      <w:r>
        <w:t xml:space="preserve">=2,9;</w:t>
      </w:r>
      <w:r>
        <w:t xml:space="preserve"> </w:t>
      </w:r>
      <m:oMath>
        <m:r>
          <m:t>p</m:t>
        </m:r>
      </m:oMath>
      <w:r>
        <w:t xml:space="preserve">&lt;0,001) como para el apoyo a expertos (</w:t>
      </w:r>
      <m:oMath>
        <m:r>
          <m:t>O</m:t>
        </m:r>
        <m:r>
          <m:t>R</m:t>
        </m:r>
      </m:oMath>
      <w:r>
        <w:t xml:space="preserve">=4,8;</w:t>
      </w:r>
      <w:r>
        <w:t xml:space="preserve"> </w:t>
      </w:r>
      <m:oMath>
        <m:r>
          <m:t>p</m:t>
        </m:r>
      </m:oMath>
      <w:r>
        <w:t xml:space="preserve">&lt;0,001). Lo mismo ocurre en el caso del individualismo autoritario (</w:t>
      </w:r>
      <m:oMath>
        <m:r>
          <m:t>O</m:t>
        </m:r>
        <m:sSub>
          <m:e>
            <m:r>
              <m:t>R</m:t>
            </m:r>
          </m:e>
          <m:sub>
            <m:r>
              <m:t>l</m:t>
            </m:r>
            <m:r>
              <m:t>i</m:t>
            </m:r>
            <m:r>
              <m:t>d</m:t>
            </m:r>
            <m:r>
              <m:t>e</m:t>
            </m:r>
            <m:r>
              <m:t>r</m:t>
            </m:r>
          </m:sub>
        </m:sSub>
      </m:oMath>
      <w:r>
        <w:t xml:space="preserve">=3,17;</w:t>
      </w:r>
      <w:r>
        <w:t xml:space="preserve"> </w:t>
      </w:r>
      <m:oMath>
        <m:r>
          <m:t>p</m:t>
        </m:r>
      </m:oMath>
      <w:r>
        <w:t xml:space="preserve">&lt;0,001.</w:t>
      </w:r>
      <w:r>
        <w:t xml:space="preserve"> </w:t>
      </w:r>
      <m:oMath>
        <m:r>
          <m:t>O</m:t>
        </m:r>
        <m:sSub>
          <m:e>
            <m:r>
              <m:t>R</m:t>
            </m:r>
          </m:e>
          <m:sub>
            <m:r>
              <m:t>e</m:t>
            </m:r>
            <m:r>
              <m:t>x</m:t>
            </m:r>
            <m:r>
              <m:t>p</m:t>
            </m:r>
            <m:r>
              <m:t>e</m:t>
            </m:r>
            <m:r>
              <m:t>r</m:t>
            </m:r>
            <m:r>
              <m:t>t</m:t>
            </m:r>
            <m:r>
              <m:t>o</m:t>
            </m:r>
            <m:r>
              <m:t>s</m:t>
            </m:r>
          </m:sub>
        </m:sSub>
      </m:oMath>
      <w:r>
        <w:t xml:space="preserve">=2,45;</w:t>
      </w:r>
      <w:r>
        <w:t xml:space="preserve"> </w:t>
      </w:r>
      <m:oMath>
        <m:r>
          <m:t>p</m:t>
        </m:r>
      </m:oMath>
      <w:r>
        <w:t xml:space="preserve">&lt;0,01). Es interesante destacar que los</w:t>
      </w:r>
      <w:r>
        <w:t xml:space="preserve"> </w:t>
      </w:r>
      <w:r>
        <w:rPr>
          <w:iCs/>
          <w:i/>
        </w:rPr>
        <w:t xml:space="preserve">odds ratios</w:t>
      </w:r>
      <w:r>
        <w:t xml:space="preserve"> </w:t>
      </w:r>
      <w:r>
        <w:t xml:space="preserve">para apoyo a un líder fuerte son superiores entre los individualistas autoritarios. Por el contrario, los</w:t>
      </w:r>
      <w:r>
        <w:t xml:space="preserve"> </w:t>
      </w:r>
      <w:r>
        <w:rPr>
          <w:iCs/>
          <w:i/>
        </w:rPr>
        <w:t xml:space="preserve">odds ratios</w:t>
      </w:r>
      <w:r>
        <w:t xml:space="preserve"> </w:t>
      </w:r>
      <w:r>
        <w:t xml:space="preserve">para el apoyo a expertos son mayores en los individualistas agénticos.</w:t>
      </w:r>
    </w:p>
    <w:p>
      <w:pPr>
        <w:pStyle w:val="Textoindependiente"/>
      </w:pPr>
      <w:r>
        <w:t xml:space="preserve">Finalmente, aunque se mantiene la relación positiva con el individualismo liberal, nuevamente no es significativa ni para el apoyo a líderes fuertes (</w:t>
      </w:r>
      <m:oMath>
        <m:r>
          <m:t>O</m:t>
        </m:r>
        <m:r>
          <m:t>R</m:t>
        </m:r>
      </m:oMath>
      <w:r>
        <w:t xml:space="preserve">=0,45;</w:t>
      </w:r>
      <w:r>
        <w:t xml:space="preserve"> </w:t>
      </w:r>
      <m:oMath>
        <m:r>
          <m:t>p</m:t>
        </m:r>
      </m:oMath>
      <w:r>
        <w:t xml:space="preserve">=0,12), ni para el apoyo a expertos (</w:t>
      </w:r>
      <m:oMath>
        <m:r>
          <m:t>O</m:t>
        </m:r>
        <m:r>
          <m:t>R</m:t>
        </m:r>
      </m:oMath>
      <w:r>
        <w:t xml:space="preserve">=0,33;</w:t>
      </w:r>
      <w:r>
        <w:t xml:space="preserve"> </w:t>
      </w:r>
      <m:oMath>
        <m:r>
          <m:t>p</m:t>
        </m:r>
      </m:oMath>
      <w:r>
        <w:t xml:space="preserve">=0,25).</w:t>
      </w:r>
    </w:p>
    <w:bookmarkEnd w:id="78"/>
    <w:bookmarkEnd w:id="79"/>
    <w:bookmarkStart w:id="80" w:name="discusión"/>
    <w:p>
      <w:pPr>
        <w:pStyle w:val="Ttulo1"/>
      </w:pPr>
      <w:r>
        <w:rPr>
          <w:rStyle w:val="SectionNumber"/>
        </w:rPr>
        <w:t xml:space="preserve">5</w:t>
      </w:r>
      <w:r>
        <w:tab/>
      </w:r>
      <w:r>
        <w:t xml:space="preserve">Discusión</w:t>
      </w:r>
    </w:p>
    <w:p>
      <w:pPr>
        <w:pStyle w:val="FirstParagraph"/>
      </w:pPr>
      <w:r>
        <w:rPr>
          <w:bCs/>
          <w:b/>
        </w:rPr>
        <w:t xml:space="preserve">Apoyo a la Democracia Delegativa</w:t>
      </w:r>
    </w:p>
    <w:p>
      <w:pPr>
        <w:pStyle w:val="Textoindependiente"/>
      </w:pPr>
      <w:r>
        <w:t xml:space="preserve">Se constató que el respaldo a la democracia delegativa en la sociedad chilena se sitúa en niveles intermedios, siendo el apoyo a que los expertos tomen decisiones para el país ligeramente más elevado que el respaldo a un líder fuerte. Es relevante señalar que se han identificado algunas disparidades entre grupos, siendo especialmente destacable el menor apoyo hacia la democracia delegativa entre quienes identifican con la centro-derecha, en contraposición a lo esperado a partir de la experiencia nacional</w:t>
      </w:r>
      <w:r>
        <w:t xml:space="preserve"> </w:t>
      </w:r>
      <w:r>
        <w:t xml:space="preserve">(</w:t>
      </w:r>
      <w:hyperlink w:anchor="ref-navia2019">
        <w:r>
          <w:rPr>
            <w:rStyle w:val="Hipervnculo"/>
          </w:rPr>
          <w:t xml:space="preserve">Navia &amp; Osorio, 2019</w:t>
        </w:r>
      </w:hyperlink>
      <w:r>
        <w:t xml:space="preserve">)</w:t>
      </w:r>
      <w:r>
        <w:t xml:space="preserve"> </w:t>
      </w:r>
      <w:r>
        <w:t xml:space="preserve">e internacional</w:t>
      </w:r>
      <w:r>
        <w:t xml:space="preserve"> </w:t>
      </w:r>
      <w:r>
        <w:t xml:space="preserve">(</w:t>
      </w:r>
      <w:hyperlink w:anchor="ref-donovan2021">
        <w:r>
          <w:rPr>
            <w:rStyle w:val="Hipervnculo"/>
          </w:rPr>
          <w:t xml:space="preserve">Donovan, 2021</w:t>
        </w:r>
      </w:hyperlink>
      <w:r>
        <w:t xml:space="preserve">)</w:t>
      </w:r>
      <w:r>
        <w:t xml:space="preserve">. Otro aspecto relevante de este dato es que se observan diferencias entre la centro-derecha y las posiciones más extremas de derecha, las cuales sí exhiben un respaldo superior a la democracia delegativa. Una posible explicación para esto podría radicar en diferencias de ingresos o de nivel educativo, lo que se traduciría en un menor respaldo a la democracia delegativa entre las personas con posiciones más moderadas de derecha</w:t>
      </w:r>
      <w:r>
        <w:t xml:space="preserve"> </w:t>
      </w:r>
      <w:r>
        <w:t xml:space="preserve">(</w:t>
      </w:r>
      <w:hyperlink w:anchor="ref-kang2018">
        <w:r>
          <w:rPr>
            <w:rStyle w:val="Hipervnculo"/>
          </w:rPr>
          <w:t xml:space="preserve">Kang &amp; Lee, 2018</w:t>
        </w:r>
      </w:hyperlink>
      <w:r>
        <w:t xml:space="preserve">)</w:t>
      </w:r>
      <w:r>
        <w:t xml:space="preserve">. Esto plantea hipótesis interesantes acerca de cómo el estatus socioeconómico puede interactuar o moderar el efecto de la posición política en el respaldo a la democracia.</w:t>
      </w:r>
    </w:p>
    <w:p>
      <w:pPr>
        <w:pStyle w:val="Textoindependiente"/>
      </w:pPr>
      <w:r>
        <w:t xml:space="preserve">Resulta llamativo, además, que las zonas rurales y las ciudades con menos de 100 mil habitantes sean las que menos respaldan la democracia delegativa, dado que la evidencia ha apuntado a que las áreas rurales suelen mostrar un mayor apoyo a candidatos de derecha populista en países como Estados Unidos</w:t>
      </w:r>
      <w:r>
        <w:t xml:space="preserve"> </w:t>
      </w:r>
      <w:r>
        <w:t xml:space="preserve">(</w:t>
      </w:r>
      <w:hyperlink w:anchor="ref-schafft2021">
        <w:r>
          <w:rPr>
            <w:rStyle w:val="Hipervnculo"/>
          </w:rPr>
          <w:t xml:space="preserve">Schafft, 2021</w:t>
        </w:r>
      </w:hyperlink>
      <w:r>
        <w:t xml:space="preserve">)</w:t>
      </w:r>
      <w:r>
        <w:t xml:space="preserve"> </w:t>
      </w:r>
      <w:r>
        <w:t xml:space="preserve">o Alemania</w:t>
      </w:r>
      <w:r>
        <w:t xml:space="preserve"> </w:t>
      </w:r>
      <w:r>
        <w:t xml:space="preserve">(</w:t>
      </w:r>
      <w:hyperlink w:anchor="ref-deppisch2022">
        <w:r>
          <w:rPr>
            <w:rStyle w:val="Hipervnculo"/>
          </w:rPr>
          <w:t xml:space="preserve">Deppisch et al., 2022</w:t>
        </w:r>
      </w:hyperlink>
      <w:r>
        <w:t xml:space="preserve">)</w:t>
      </w:r>
      <w:r>
        <w:t xml:space="preserve">. Este hallazgo merece una mayor atención en investigaciones futuras que se propongan trazar una geografía del autoritarismo en Chile y explorar cómo este fenómeno puede mostrar diferencias entre zonas urbanas y rurales.</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Uno de los perfiles identificados, el individualismo agéntico, parece llevar este rasgo hasta el extremo, ya que es el único en el cual se legitima el actuar estratégico. Estar en un</w:t>
      </w:r>
      <w:r>
        <w:t xml:space="preserve"> </w:t>
      </w:r>
      <w:r>
        <w:rPr>
          <w:iCs/>
          <w:i/>
        </w:rPr>
        <w:t xml:space="preserve">estado de alerta</w:t>
      </w:r>
      <w:r>
        <w:t xml:space="preserve"> </w:t>
      </w:r>
      <w:r>
        <w:t xml:space="preserve">para aprovechar las oportunidades es otra característica del individualismo agéntico descrita por Araujo y Martucceli</w:t>
      </w:r>
      <w:r>
        <w:t xml:space="preserve"> </w:t>
      </w:r>
      <w:r>
        <w:t xml:space="preserve">(</w:t>
      </w:r>
      <w:hyperlink w:anchor="ref-araujo2014">
        <w:r>
          <w:rPr>
            <w:rStyle w:val="Hipervnculo"/>
          </w:rPr>
          <w:t xml:space="preserve">2014</w:t>
        </w:r>
      </w:hyperlink>
      <w:r>
        <w:t xml:space="preserve">)</w:t>
      </w:r>
      <w:r>
        <w:t xml:space="preserve">. En la sociedad chilena, la capacidad de aprovechar las oportunidades suele ser vista como un motivo de orgullo personal, aunque no sin contradicciones, especialmente cuando se convierte en transgresión. Se podría pensar que esta tipología refleja esa tensión: Mientras tres de las clases identificadas parecen percibir el oportunismo como un vicio colectivo, el individualismo agéntico lo celebra como un virtud personal.</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 A pesar de que los chilenos mayoritariamente se identifican como individuos independientes, esto no se traduciría en la aceptación de ideales tipo</w:t>
      </w:r>
      <w:r>
        <w:t xml:space="preserve"> </w:t>
      </w:r>
      <w:r>
        <w:rPr>
          <w:iCs/>
          <w:i/>
        </w:rPr>
        <w:t xml:space="preserve">self-made man</w:t>
      </w:r>
      <w:r>
        <w:t xml:space="preserve">. Por el contrario, la evidencia parece apuntar a que el individualismo chileno, en todas sus variantes, no se comprende de manera aislada de las identidades familiares y nacionales de las personas.</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la democracia delegativa debe ser considerado como una evidencia alentadora del potencial del modelo teórico de individualismo propuesto. Dos de los perfiles identificados muestran una asociación negativa con el apoyo a la democracia delegativa (el conservador y el liberal), mientras que los otros dos (el agéntico y el autoritario) presentan una relación positiva.</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agéntico).</w:t>
      </w:r>
    </w:p>
    <w:p>
      <w:pPr>
        <w:pStyle w:val="Textoindependiente"/>
      </w:pPr>
      <w:r>
        <w:t xml:space="preserve">La afinidad entre estos tipos de individualismo y la democracia delegativa podría explicarse debido a que esta variante de democracia permite a los ciudadanos ejercer el voto periódicamente (rendición de cuentas vertical)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 la autoridad electa se le exigen resultados, incluso si ello implica transgredir la autonomía de otras instituciones del Estado (rendición de cuentas horizontal). Si la relación entre los hiperindividualismos y la democracia delegativa se explica por una mayor apatía hacia el espacio público, como aquí se plantea, se esperaría encontrar diferencias entre los perfiles de individualismo en variables como la participación política o la confianza generalizada.</w:t>
      </w:r>
    </w:p>
    <w:p>
      <w:pPr>
        <w:pStyle w:val="Textoindependiente"/>
      </w:pPr>
      <w:r>
        <w:t xml:space="preserve">Aunque la distinción entre individualismos cívicos e hiperindividualismos puede recordar los constructos de individualismo horizontal e individualismo vertical, respectivamente, es necesario realizar algunas precisiones. En primer lugar, cabe señalar que el individualismo horizontal pone énfasis, sobre todo, en la unicidad del individuo. Aunque esto podría describir a los individualistas liberales, se debe notar que los individualistas conservadores no parecen estar tan dispuestos a aceptar esa unicidad en la esfera expresiva. Por otro lado, aunque se puede inferir que los hiperindividualismos muestran componentes jerárquicos, también es posible observar rasgos de individualismo horizontal, especialmente en el individualismo agéntico, como en la alta legitimidad de la individualidad expresiva. Lo que distingue a los individualismos cívicos de los hiperindividualismos no son tanto las visiones jerárquicas o sobre la unicidad del individuo, sino más bien su posición frente a la esfera pública. Sin embargo, en futuras investigaciones se debería profundizar en la relación entre el modelo teórico propuesto aquí y otras mediciones de individualismo, incluyendo las escalas de individualismo vertical y horizontal.</w:t>
      </w:r>
    </w:p>
    <w:p>
      <w:pPr>
        <w:pStyle w:val="Textoindependiente"/>
      </w:pPr>
      <w:r>
        <w:t xml:space="preserve">Otro aspecto interesante que se debe destacar es que, mientras los individualistas autoritarios muestran un mayor respaldo a los líderes fuertes, los individualistas agénticos lo hacen a los expertos. Este hallazgo resulta relevante considerando que el individualismo agéntico, a diferencia del autoritario (pero en concordancia con el conservador y el liberal), exhibe altos niveles de apoyo a la individualidad en la esfera política. Esto podría indicar que lo que caracteriza al individualismo agéntico no sería tanto el autoritarismo, sino más bien una postura pragmática hacia la democracia. Este grupo podría valorar la democracia no necesariamente como un fin, sino como un medio que les permita resolver problemas privados.</w:t>
      </w:r>
    </w:p>
    <w:bookmarkEnd w:id="80"/>
    <w:bookmarkStart w:id="222" w:name="conclusión"/>
    <w:p>
      <w:pPr>
        <w:pStyle w:val="Ttulo1"/>
      </w:pPr>
      <w:r>
        <w:rPr>
          <w:rStyle w:val="SectionNumber"/>
        </w:rPr>
        <w:t xml:space="preserve">6</w:t>
      </w:r>
      <w:r>
        <w:tab/>
      </w:r>
      <w:r>
        <w:t xml:space="preserve">Conclusión</w:t>
      </w:r>
    </w:p>
    <w:p>
      <w:pPr>
        <w:pStyle w:val="FirstParagraph"/>
      </w:pPr>
      <w:r>
        <w:t xml:space="preserve">Si bien los niveles de apoyo a la democracia delegativa son, en promedio, moderados, esta investigación permite concluir que existen diferencias significativas en tal apoyo entre los distintos perfiles de individualismo identificados: el autoritario, el conservador, el liberal y el agéntico. Además, se propuso que estos cuatro perfiles podrían distribuirse a lo largo de un eje que distingue entre individualismos cívicos e hiperindividualismos.</w:t>
      </w:r>
    </w:p>
    <w:p>
      <w:pPr>
        <w:pStyle w:val="Textoindependiente"/>
      </w:pPr>
      <w:r>
        <w:t xml:space="preserve">El individualismo conservador y el liberal, categorizados como individualismos cívicos, muestran menores niveles de apoyo a la democracia delegativa. Estos perfiles tienden a valorar la individualidad en conexión con la comunidad política, lo que se traduciría en un mayor apoyo a los ideales más represantivos de democracia.</w:t>
      </w:r>
    </w:p>
    <w:p>
      <w:pPr>
        <w:pStyle w:val="Textoindependiente"/>
      </w:pPr>
      <w:r>
        <w:t xml:space="preserve">Por otro lado, el individualismo autoritario y el agéntico, que pueden ser entendidos como formas de hiperindividualismo, presentan un nivel de apoyo superior a la democracia delegativa. Estos perfiles se inclinan por una actitud de apatía hacia la esfera pública, lo que sugiere una valoración de la democracia más como un medio para fines personales que como un fin en sí mismo.</w:t>
      </w:r>
    </w:p>
    <w:p>
      <w:pPr>
        <w:pStyle w:val="Textoindependiente"/>
      </w:pPr>
      <w:r>
        <w:t xml:space="preserve">En resumen, esta investigación sugiere que la relación entre el individualismo y el apoyo a la democracia delegativa es significativa, pero divergente entre distintos grupos.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p>
      <w:pPr>
        <w:pStyle w:val="Textoindependiente"/>
      </w:pPr>
      <w:r>
        <w:rPr>
          <w:bCs/>
          <w:b/>
        </w:rPr>
        <w:t xml:space="preserve">Alcances, limitaciones y reflexiones finales</w:t>
      </w:r>
    </w:p>
    <w:p>
      <w:pPr>
        <w:pStyle w:val="Textoindependiente"/>
      </w:pPr>
      <w:r>
        <w:t xml:space="preserve">A continuación, se presentarán algunas reflexiones sobre las limitaciones y posibles líneas de investigación futuras que se desprenden de este estudio.</w:t>
      </w:r>
    </w:p>
    <w:p>
      <w:pPr>
        <w:pStyle w:val="Textoindependiente"/>
      </w:pPr>
      <w:r>
        <w:t xml:space="preserve">Para empezar, 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individualización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este sentido, hay cuatro puntos que vale la pena mencionar.</w:t>
      </w:r>
    </w:p>
    <w:p>
      <w:pPr>
        <w:pStyle w:val="Textoindependiente"/>
      </w:pPr>
      <w:r>
        <w:t xml:space="preserve">En primer lugar, es llamativo que no se observara una relación entre la valoración de la competencia y los indicadores de accionar estratégico, como evadir en el transporte público y mentir para obtener beneficios sociales. Se podría argumentar que estos representan dos dimensiones de un mismo constructo, el individualismo utilitario, con uno de ellos englobando la valoración de la competencia, el esfuerzo y la meritocracia, y el otro refiriéndose a los límites de esas conductas. Por ejemplo, una persona podría valorar la competencia entre individuos pero entender que ello implica el respeto común a ciertas normas; mientras que otros, como sería el caso de los individualistas agénticos, podrían percibir que la competencia justifica un</w:t>
      </w:r>
      <w:r>
        <w:t xml:space="preserve"> </w:t>
      </w:r>
      <w:r>
        <w:rPr>
          <w:iCs/>
          <w:i/>
        </w:rPr>
        <w:t xml:space="preserve">todo vale</w:t>
      </w:r>
      <w:r>
        <w:t xml:space="preserve">. Sin embargo, tampoco se puede descartar la posibilidad de que estos sean simplemente dos constructos diferentes. Sea cual sea el caso, es necesaria la elaboración y validación de indicadores que permitan medir el individualismo utilitario.</w:t>
      </w:r>
    </w:p>
    <w:p>
      <w:pPr>
        <w:pStyle w:val="Textoindependiente"/>
      </w:pPr>
      <w:r>
        <w:t xml:space="preserve">En segundo lugar, si los individualistas agénticos muestran una posición más pragmática frente a la democracia, ¿esto no debería reflejarse en una baja legitimidad del individualismo moral? El hecho de que los individualistas agénticos tengan una alta probabilidad de legitimar esa dimensión bien podría indicar que las razones para hacerlo no son necesaria o exclusivamente el individualismo. Otros factores, como la deseabilidad social, podrían estar sesgando estos resultados. Sin embargo, no es contradictorio que el individualismo agéntico legitime la individualidad en la esfera moral, especialmente si se vincula con los deseos de horizontalización del lazo social</w:t>
      </w:r>
      <w:r>
        <w:t xml:space="preserve"> </w:t>
      </w:r>
      <w:r>
        <w:t xml:space="preserve">(</w:t>
      </w:r>
      <w:hyperlink w:anchor="ref-araujo2020a">
        <w:r>
          <w:rPr>
            <w:rStyle w:val="Hipervnculo"/>
          </w:rPr>
          <w:t xml:space="preserve">Araujo &amp; Martuccelli, 2020b</w:t>
        </w:r>
      </w:hyperlink>
      <w:r>
        <w:t xml:space="preserve">)</w:t>
      </w:r>
      <w:r>
        <w:t xml:space="preserve">. Preguntas que no aborden directamente la democracia, mediante temas tales como la pena de muerte o los derechos humanos, podrían mejorar la medición de este constructo.</w:t>
      </w:r>
    </w:p>
    <w:p>
      <w:pPr>
        <w:pStyle w:val="Textoindependiente"/>
      </w:pPr>
      <w:r>
        <w:t xml:space="preserve">En tercer lugar, como se ha mencionado anteriormente, hay razones para creer que la familia y la nación son particularmente relevantes a la hora de medir la interdependencia relacional y la identidad colectiva. No obstante, esto no significa que se deban descartar posibles diferencias en los perfiles identificados con respecto a otras identidades. Se podría hipotetizar, por ejemplo, que la identidad religiosa es más importante que la nacional entre los individualistas autoritarios, o que las amistades o las identidades profesionales pueden ser más relevantes, o bien complementar, la relevancia de la familia entre los individualistas liberales. Investigaciones futuras deberán abordar desde qué grupos de referencia los individuos construyen sus identidades.</w:t>
      </w:r>
    </w:p>
    <w:p>
      <w:pPr>
        <w:pStyle w:val="Textoindependiente"/>
      </w:pPr>
      <w:r>
        <w:t xml:space="preserve">Por último,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De tal modo, en el caso de construir indicadores originales a partir del modelo teórico de esta investigación, se debería considerar hacerlo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¿Significó la emergencia sanitaria una transformación en como los expertos son percibidos y cuál debe ser su rol en la toma de decisiones?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una democracia delegativa? Todas estas son preguntas relevantes que quedarán abiertas y deberán ser abordadas en el futuro.</w:t>
      </w:r>
    </w:p>
    <w:p>
      <w:pPr>
        <w:pStyle w:val="Textoindependiente"/>
      </w:pPr>
      <w:r>
        <w:t xml:space="preserve">Por otro lado, no se puede descartar la presencia de sesgos de deseabilidad social o por casos perdidos. La Encuesta Mundial de Valores es un extenso cuestionario que, con más de 300 preguntas, aborda temas que pueden resultar sensibles para muchas personas. No se puede descartar, por lo tanto, que ciertos grupos de la población estén moderando – o incluso ocultando – sus percepciones sobre temas políticos o valóricos. Se identificó que las personas mayores de 60 años, sin educación universitaria, sin identificación política y los habitantes fuera de Santiago muestran mayores probabilidades de no responder en las variables clave de este estudio. Frente a esto, una posibilidad a considerar es la imputación de datos para cubrir esta brecha.</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la democracia, el tipo de liderazgos esperados y el rol que los expertos deben desempeñar en la sociedad.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221" w:name="refs"/>
    <w:bookmarkStart w:id="8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81"/>
    <w:bookmarkStart w:id="8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82"/>
    <w:bookmarkStart w:id="84" w:name="ref-araujo2013"/>
    <w:p>
      <w:pPr>
        <w:pStyle w:val="Bibliografa"/>
      </w:pPr>
      <w:r>
        <w:t xml:space="preserve">Araujo, K., &amp; Beyer, N. (2013). Autoridad y autoritarismo en</w:t>
      </w:r>
      <w:r>
        <w:t xml:space="preserve"> </w:t>
      </w:r>
      <w:r>
        <w:t xml:space="preserve">Chile</w:t>
      </w:r>
      <w:r>
        <w:t xml:space="preserve">:</w:t>
      </w:r>
      <w:r>
        <w:t xml:space="preserve"> </w:t>
      </w:r>
      <w:r>
        <w:t xml:space="preserve">Reflexiones</w:t>
      </w:r>
      <w:r>
        <w:t xml:space="preserve"> </w:t>
      </w:r>
      <w:r>
        <w:t xml:space="preserve">en torno al ideal-tipo portaliano.</w:t>
      </w:r>
      <w:r>
        <w:t xml:space="preserve"> </w:t>
      </w:r>
      <w:r>
        <w:rPr>
          <w:iCs/>
          <w:i/>
        </w:rPr>
        <w:t xml:space="preserve">Atenea (Concepci</w:t>
      </w:r>
      <w:r>
        <w:rPr>
          <w:iCs/>
          <w:i/>
        </w:rPr>
        <w:t xml:space="preserve">ó</w:t>
      </w:r>
      <w:r>
        <w:rPr>
          <w:iCs/>
          <w:i/>
        </w:rPr>
        <w:t xml:space="preserve">n)</w:t>
      </w:r>
      <w:r>
        <w:t xml:space="preserve">,</w:t>
      </w:r>
      <w:r>
        <w:t xml:space="preserve"> </w:t>
      </w:r>
      <w:r>
        <w:rPr>
          <w:iCs/>
          <w:i/>
        </w:rPr>
        <w:t xml:space="preserve">508</w:t>
      </w:r>
      <w:r>
        <w:t xml:space="preserve">, 171–185.</w:t>
      </w:r>
      <w:r>
        <w:t xml:space="preserve"> </w:t>
      </w:r>
      <w:hyperlink r:id="rId83">
        <w:r>
          <w:rPr>
            <w:rStyle w:val="Hipervnculo"/>
          </w:rPr>
          <w:t xml:space="preserve">https://doi.org/10.4067/S0718-04622013000200012</w:t>
        </w:r>
      </w:hyperlink>
    </w:p>
    <w:bookmarkEnd w:id="84"/>
    <w:bookmarkStart w:id="85"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85"/>
    <w:bookmarkStart w:id="87"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86">
        <w:r>
          <w:rPr>
            <w:rStyle w:val="Hipervnculo"/>
          </w:rPr>
          <w:t xml:space="preserve">https://doi.org/10.1177/0011392113512496</w:t>
        </w:r>
      </w:hyperlink>
    </w:p>
    <w:bookmarkEnd w:id="87"/>
    <w:bookmarkStart w:id="89"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88">
        <w:r>
          <w:rPr>
            <w:rStyle w:val="Hipervnculo"/>
          </w:rPr>
          <w:t xml:space="preserve">https://doi.org/10.1590/es.228265</w:t>
        </w:r>
      </w:hyperlink>
    </w:p>
    <w:bookmarkEnd w:id="89"/>
    <w:bookmarkStart w:id="91"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90">
        <w:r>
          <w:rPr>
            <w:rStyle w:val="Hipervnculo"/>
          </w:rPr>
          <w:t xml:space="preserve">https://doi.org/10.18504/pl2855-001-2020</w:t>
        </w:r>
      </w:hyperlink>
    </w:p>
    <w:bookmarkEnd w:id="91"/>
    <w:bookmarkStart w:id="92"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92"/>
    <w:bookmarkStart w:id="94"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93">
        <w:r>
          <w:rPr>
            <w:rStyle w:val="Hipervnculo"/>
          </w:rPr>
          <w:t xml:space="preserve">https://doi.org/10.1111/pops.12580</w:t>
        </w:r>
      </w:hyperlink>
    </w:p>
    <w:bookmarkEnd w:id="94"/>
    <w:bookmarkStart w:id="96" w:name="ref-arribas1999"/>
    <w:p>
      <w:pPr>
        <w:pStyle w:val="Bibliografa"/>
      </w:pPr>
      <w:r>
        <w:t xml:space="preserve">Arribas, R. G. (1999). Individualismo y colectivismo en el an</w:t>
      </w:r>
      <w:r>
        <w:t xml:space="preserve">á</w:t>
      </w:r>
      <w:r>
        <w:t xml:space="preserve">lisis sociol</w:t>
      </w:r>
      <w:r>
        <w:t xml:space="preserve">ó</w:t>
      </w:r>
      <w:r>
        <w:t xml:space="preserve">gico.</w:t>
      </w:r>
      <w:r>
        <w:t xml:space="preserve"> </w:t>
      </w:r>
      <w:r>
        <w:rPr>
          <w:iCs/>
          <w:i/>
        </w:rPr>
        <w:t xml:space="preserve">Reis</w:t>
      </w:r>
      <w:r>
        <w:t xml:space="preserve">,</w:t>
      </w:r>
      <w:r>
        <w:t xml:space="preserve"> </w:t>
      </w:r>
      <w:r>
        <w:rPr>
          <w:iCs/>
          <w:i/>
        </w:rPr>
        <w:t xml:space="preserve">85</w:t>
      </w:r>
      <w:r>
        <w:t xml:space="preserve">, 9–25.</w:t>
      </w:r>
      <w:r>
        <w:t xml:space="preserve"> </w:t>
      </w:r>
      <w:hyperlink r:id="rId95">
        <w:r>
          <w:rPr>
            <w:rStyle w:val="Hipervnculo"/>
          </w:rPr>
          <w:t xml:space="preserve">https://doi.org/10.2307/40184096</w:t>
        </w:r>
      </w:hyperlink>
    </w:p>
    <w:bookmarkEnd w:id="96"/>
    <w:bookmarkStart w:id="98"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97">
        <w:r>
          <w:rPr>
            <w:rStyle w:val="Hipervnculo"/>
          </w:rPr>
          <w:t xml:space="preserve">https://doi.org/10.1111/pops.12812</w:t>
        </w:r>
      </w:hyperlink>
    </w:p>
    <w:bookmarkEnd w:id="98"/>
    <w:bookmarkStart w:id="99" w:name="ref-bauman2003"/>
    <w:p>
      <w:pPr>
        <w:pStyle w:val="Bibliografa"/>
      </w:pPr>
      <w:r>
        <w:t xml:space="preserve">Bauman, Z. (2003). Prefacio de</w:t>
      </w:r>
      <w:r>
        <w:t xml:space="preserve"> </w:t>
      </w:r>
      <w:r>
        <w:t xml:space="preserve">Zygmunt Bauman</w:t>
      </w:r>
      <w:r>
        <w:t xml:space="preserve">.</w:t>
      </w:r>
      <w:r>
        <w:t xml:space="preserve"> </w:t>
      </w:r>
      <w:r>
        <w:t xml:space="preserve">Individualmente</w:t>
      </w:r>
      <w:r>
        <w:t xml:space="preserve">, pero juntos. In</w:t>
      </w:r>
      <w:r>
        <w:t xml:space="preserve"> </w:t>
      </w:r>
      <w:r>
        <w:rPr>
          <w:iCs/>
          <w:i/>
        </w:rPr>
        <w:t xml:space="preserve">La</w:t>
      </w:r>
      <w:r>
        <w:rPr>
          <w:iCs/>
          <w:i/>
        </w:rPr>
        <w:t xml:space="preserve"> </w:t>
      </w:r>
      <w:r>
        <w:rPr>
          <w:iCs/>
          <w:i/>
        </w:rPr>
        <w:t xml:space="preserve">Individualizaci</w:t>
      </w:r>
      <w:r>
        <w:rPr>
          <w:iCs/>
          <w:i/>
        </w:rPr>
        <w:t xml:space="preserve">ó</w:t>
      </w:r>
      <w:r>
        <w:rPr>
          <w:iCs/>
          <w:i/>
        </w:rPr>
        <w:t xml:space="preserve">n</w:t>
      </w:r>
      <w:r>
        <w:rPr>
          <w:iCs/>
          <w:i/>
        </w:rPr>
        <w:t xml:space="preserve">.</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w:t>
      </w:r>
      <w:r>
        <w:t xml:space="preserve">(pp. 19–28). Paid</w:t>
      </w:r>
      <w:r>
        <w:t xml:space="preserve">ó</w:t>
      </w:r>
      <w:r>
        <w:t xml:space="preserve">s.</w:t>
      </w:r>
    </w:p>
    <w:bookmarkEnd w:id="99"/>
    <w:bookmarkStart w:id="100" w:name="ref-beck2003"/>
    <w:p>
      <w:pPr>
        <w:pStyle w:val="Bibliografa"/>
      </w:pPr>
      <w:r>
        <w:t xml:space="preserve">Beck, U., &amp; Beck-Gernsheim, E. (2003).</w:t>
      </w:r>
      <w:r>
        <w:t xml:space="preserve"> </w:t>
      </w:r>
      <w:r>
        <w:rPr>
          <w:iCs/>
          <w:i/>
        </w:rPr>
        <w:t xml:space="preserve">La individualizaci</w:t>
      </w:r>
      <w:r>
        <w:rPr>
          <w:iCs/>
          <w:i/>
        </w:rPr>
        <w:t xml:space="preserve">ó</w:t>
      </w:r>
      <w:r>
        <w:rPr>
          <w:iCs/>
          <w:i/>
        </w:rPr>
        <w:t xml:space="preserve">n.</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Paid</w:t>
      </w:r>
      <w:r>
        <w:t xml:space="preserve">ó</w:t>
      </w:r>
      <w:r>
        <w:t xml:space="preserve">s.</w:t>
      </w:r>
    </w:p>
    <w:bookmarkEnd w:id="100"/>
    <w:bookmarkStart w:id="102"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101">
        <w:r>
          <w:rPr>
            <w:rStyle w:val="Hipervnculo"/>
          </w:rPr>
          <w:t xml:space="preserve">https://doi.org/10.1177/0033294119868786</w:t>
        </w:r>
      </w:hyperlink>
    </w:p>
    <w:bookmarkEnd w:id="102"/>
    <w:bookmarkStart w:id="104"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Cs/>
          <w:i/>
        </w:rPr>
        <w:t xml:space="preserve">Journal for Person-Oriented Research</w:t>
      </w:r>
      <w:r>
        <w:t xml:space="preserve">,</w:t>
      </w:r>
      <w:r>
        <w:t xml:space="preserve"> </w:t>
      </w:r>
      <w:r>
        <w:rPr>
          <w:iCs/>
          <w:i/>
        </w:rPr>
        <w:t xml:space="preserve">1</w:t>
      </w:r>
      <w:r>
        <w:t xml:space="preserve">(1-2), 1–6.</w:t>
      </w:r>
      <w:r>
        <w:t xml:space="preserve"> </w:t>
      </w:r>
      <w:hyperlink r:id="rId103">
        <w:r>
          <w:rPr>
            <w:rStyle w:val="Hipervnculo"/>
          </w:rPr>
          <w:t xml:space="preserve">https://doi.org/10.17505/jpor.2015.01</w:t>
        </w:r>
      </w:hyperlink>
    </w:p>
    <w:bookmarkEnd w:id="104"/>
    <w:bookmarkStart w:id="106" w:name="ref-bouzanis2019"/>
    <w:p>
      <w:pPr>
        <w:pStyle w:val="Bibliografa"/>
      </w:pPr>
      <w:r>
        <w:t xml:space="preserve">Bouzanis, C., &amp; Kemp, S. (2019). Residuality and</w:t>
      </w:r>
      <w:r>
        <w:t xml:space="preserve"> </w:t>
      </w:r>
      <w:r>
        <w:t xml:space="preserve">Inconsistency</w:t>
      </w:r>
      <w:r>
        <w:t xml:space="preserve"> </w:t>
      </w:r>
      <w:r>
        <w:t xml:space="preserve">in the</w:t>
      </w:r>
      <w:r>
        <w:t xml:space="preserve"> </w:t>
      </w:r>
      <w:r>
        <w:t xml:space="preserve">Interpretation</w:t>
      </w:r>
      <w:r>
        <w:t xml:space="preserve"> </w:t>
      </w:r>
      <w:r>
        <w:t xml:space="preserve">of</w:t>
      </w:r>
      <w:r>
        <w:t xml:space="preserve"> </w:t>
      </w:r>
      <w:r>
        <w:t xml:space="preserve">Socio-Theoretical Systems</w:t>
      </w:r>
      <w:r>
        <w:t xml:space="preserve">.</w:t>
      </w:r>
      <w:r>
        <w:t xml:space="preserve"> </w:t>
      </w:r>
      <w:r>
        <w:rPr>
          <w:iCs/>
          <w:i/>
        </w:rPr>
        <w:t xml:space="preserve">Sociological Theory</w:t>
      </w:r>
      <w:r>
        <w:t xml:space="preserve">,</w:t>
      </w:r>
      <w:r>
        <w:t xml:space="preserve"> </w:t>
      </w:r>
      <w:r>
        <w:rPr>
          <w:iCs/>
          <w:i/>
        </w:rPr>
        <w:t xml:space="preserve">37</w:t>
      </w:r>
      <w:r>
        <w:t xml:space="preserve">(3), 282–292.</w:t>
      </w:r>
      <w:r>
        <w:t xml:space="preserve"> </w:t>
      </w:r>
      <w:hyperlink r:id="rId105">
        <w:r>
          <w:rPr>
            <w:rStyle w:val="Hipervnculo"/>
          </w:rPr>
          <w:t xml:space="preserve">https://doi.org/10.1177/0735275119869973</w:t>
        </w:r>
      </w:hyperlink>
    </w:p>
    <w:bookmarkEnd w:id="106"/>
    <w:bookmarkStart w:id="108"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107">
        <w:r>
          <w:rPr>
            <w:rStyle w:val="Hipervnculo"/>
          </w:rPr>
          <w:t xml:space="preserve">https://doi.org/10.1037/0033-295X.114.1.133</w:t>
        </w:r>
      </w:hyperlink>
    </w:p>
    <w:bookmarkEnd w:id="108"/>
    <w:bookmarkStart w:id="109"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109"/>
    <w:bookmarkStart w:id="111"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110">
        <w:r>
          <w:rPr>
            <w:rStyle w:val="Hipervnculo"/>
          </w:rPr>
          <w:t xml:space="preserve">https://doi.org/10.1177/1065912910370692</w:t>
        </w:r>
      </w:hyperlink>
    </w:p>
    <w:bookmarkEnd w:id="111"/>
    <w:bookmarkStart w:id="113"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112">
        <w:r>
          <w:rPr>
            <w:rStyle w:val="Hipervnculo"/>
          </w:rPr>
          <w:t xml:space="preserve">https://doi.org/10.1111/pops.12409</w:t>
        </w:r>
      </w:hyperlink>
    </w:p>
    <w:bookmarkEnd w:id="113"/>
    <w:bookmarkStart w:id="114"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114"/>
    <w:bookmarkStart w:id="115"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115"/>
    <w:bookmarkStart w:id="117" w:name="ref-chiru2022"/>
    <w:p>
      <w:pPr>
        <w:pStyle w:val="Bibliografa"/>
      </w:pPr>
      <w:r>
        <w:t xml:space="preserve">Chiru, M., &amp; Enyedi, Z. (2022). Who wants technocrats?</w:t>
      </w:r>
      <w:r>
        <w:t xml:space="preserve"> </w:t>
      </w:r>
      <w:r>
        <w:t xml:space="preserve">A</w:t>
      </w:r>
      <w:r>
        <w:t xml:space="preserve"> </w:t>
      </w:r>
      <w:r>
        <w:t xml:space="preserve">comparative study of citizen attitudes in nine young and consolidated democracies.</w:t>
      </w:r>
      <w:r>
        <w:t xml:space="preserve"> </w:t>
      </w:r>
      <w:r>
        <w:rPr>
          <w:iCs/>
          <w:i/>
        </w:rPr>
        <w:t xml:space="preserve">The British Journal of Politics and International Relations</w:t>
      </w:r>
      <w:r>
        <w:t xml:space="preserve">,</w:t>
      </w:r>
      <w:r>
        <w:t xml:space="preserve"> </w:t>
      </w:r>
      <w:r>
        <w:rPr>
          <w:iCs/>
          <w:i/>
        </w:rPr>
        <w:t xml:space="preserve">24</w:t>
      </w:r>
      <w:r>
        <w:t xml:space="preserve">(1), 95–112.</w:t>
      </w:r>
      <w:r>
        <w:t xml:space="preserve"> </w:t>
      </w:r>
      <w:hyperlink r:id="rId116">
        <w:r>
          <w:rPr>
            <w:rStyle w:val="Hipervnculo"/>
          </w:rPr>
          <w:t xml:space="preserve">https://doi.org/10.1177/13691481211018311</w:t>
        </w:r>
      </w:hyperlink>
    </w:p>
    <w:bookmarkEnd w:id="117"/>
    <w:bookmarkStart w:id="118"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18"/>
    <w:bookmarkStart w:id="120"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19">
        <w:r>
          <w:rPr>
            <w:rStyle w:val="Hipervnculo"/>
          </w:rPr>
          <w:t xml:space="preserve">https://doi.org/10.1177/1368431017698474</w:t>
        </w:r>
      </w:hyperlink>
    </w:p>
    <w:bookmarkEnd w:id="120"/>
    <w:bookmarkStart w:id="122"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21">
        <w:r>
          <w:rPr>
            <w:rStyle w:val="Hipervnculo"/>
          </w:rPr>
          <w:t xml:space="preserve">https://doi.org/10.1111/pops.12787</w:t>
        </w:r>
      </w:hyperlink>
    </w:p>
    <w:bookmarkEnd w:id="122"/>
    <w:bookmarkStart w:id="124"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23">
        <w:r>
          <w:rPr>
            <w:rStyle w:val="Hipervnculo"/>
          </w:rPr>
          <w:t xml:space="preserve">https://doi.org/10.1177/1088868310373752</w:t>
        </w:r>
      </w:hyperlink>
    </w:p>
    <w:bookmarkEnd w:id="124"/>
    <w:bookmarkStart w:id="126"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25">
        <w:r>
          <w:rPr>
            <w:rStyle w:val="Hipervnculo"/>
          </w:rPr>
          <w:t xml:space="preserve">https://doi.org/10.1111/ruso.12397</w:t>
        </w:r>
      </w:hyperlink>
    </w:p>
    <w:bookmarkEnd w:id="126"/>
    <w:bookmarkStart w:id="128"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27">
        <w:r>
          <w:rPr>
            <w:rStyle w:val="Hipervnculo"/>
          </w:rPr>
          <w:t xml:space="preserve">https://doi.org/10.1075/jlp.22131.dia</w:t>
        </w:r>
      </w:hyperlink>
    </w:p>
    <w:bookmarkEnd w:id="128"/>
    <w:bookmarkStart w:id="130"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29">
        <w:r>
          <w:rPr>
            <w:rStyle w:val="Hipervnculo"/>
          </w:rPr>
          <w:t xml:space="preserve">https://doi.org/10.1080/17457289.2019.1666270</w:t>
        </w:r>
      </w:hyperlink>
    </w:p>
    <w:bookmarkEnd w:id="130"/>
    <w:bookmarkStart w:id="132"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31">
        <w:r>
          <w:rPr>
            <w:rStyle w:val="Hipervnculo"/>
          </w:rPr>
          <w:t xml:space="preserve">https://doi.org/10.1177/1354068820920853</w:t>
        </w:r>
      </w:hyperlink>
    </w:p>
    <w:bookmarkEnd w:id="132"/>
    <w:bookmarkStart w:id="134"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33">
        <w:r>
          <w:rPr>
            <w:rStyle w:val="Hipervnculo"/>
          </w:rPr>
          <w:t xml:space="preserve">https://doi.org/10.1080/1369183X.2018.1521715</w:t>
        </w:r>
      </w:hyperlink>
    </w:p>
    <w:bookmarkEnd w:id="134"/>
    <w:bookmarkStart w:id="136"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35">
        <w:r>
          <w:rPr>
            <w:rStyle w:val="Hipervnculo"/>
          </w:rPr>
          <w:t xml:space="preserve">https://doi.org/10.4236/jamp.2019.77103</w:t>
        </w:r>
      </w:hyperlink>
    </w:p>
    <w:bookmarkEnd w:id="136"/>
    <w:bookmarkStart w:id="138" w:name="ref-ganuza2020"/>
    <w:p>
      <w:pPr>
        <w:pStyle w:val="Bibliografa"/>
      </w:pPr>
      <w:r>
        <w:t xml:space="preserve">Ganuza, E., &amp; Font, J. (2020). Experts in</w:t>
      </w:r>
      <w:r>
        <w:t xml:space="preserve"> </w:t>
      </w:r>
      <w:r>
        <w:t xml:space="preserve">Government</w:t>
      </w:r>
      <w:r>
        <w:t xml:space="preserve">:</w:t>
      </w:r>
      <w:r>
        <w:t xml:space="preserve"> </w:t>
      </w:r>
      <w:r>
        <w:t xml:space="preserve">What</w:t>
      </w:r>
      <w:r>
        <w:t xml:space="preserve"> </w:t>
      </w:r>
      <w:r>
        <w:t xml:space="preserve">for?</w:t>
      </w:r>
      <w:r>
        <w:t xml:space="preserve"> </w:t>
      </w:r>
      <w:r>
        <w:t xml:space="preserve">Ambiguities</w:t>
      </w:r>
      <w:r>
        <w:t xml:space="preserve"> </w:t>
      </w:r>
      <w:r>
        <w:t xml:space="preserve">in</w:t>
      </w:r>
      <w:r>
        <w:t xml:space="preserve"> </w:t>
      </w:r>
      <w:r>
        <w:t xml:space="preserve">Public Opinion Towards Technocracy</w:t>
      </w:r>
      <w:r>
        <w:t xml:space="preserve">.</w:t>
      </w:r>
      <w:r>
        <w:t xml:space="preserve"> </w:t>
      </w:r>
      <w:r>
        <w:rPr>
          <w:iCs/>
          <w:i/>
        </w:rPr>
        <w:t xml:space="preserve">Politics and Governance</w:t>
      </w:r>
      <w:r>
        <w:t xml:space="preserve">,</w:t>
      </w:r>
      <w:r>
        <w:t xml:space="preserve"> </w:t>
      </w:r>
      <w:r>
        <w:rPr>
          <w:iCs/>
          <w:i/>
        </w:rPr>
        <w:t xml:space="preserve">8</w:t>
      </w:r>
      <w:r>
        <w:t xml:space="preserve">(4), 520–532.</w:t>
      </w:r>
      <w:r>
        <w:t xml:space="preserve"> </w:t>
      </w:r>
      <w:hyperlink r:id="rId137">
        <w:r>
          <w:rPr>
            <w:rStyle w:val="Hipervnculo"/>
          </w:rPr>
          <w:t xml:space="preserve">https://doi.org/10.17645/pag.v8i4.3206</w:t>
        </w:r>
      </w:hyperlink>
    </w:p>
    <w:bookmarkEnd w:id="138"/>
    <w:bookmarkStart w:id="140"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39">
        <w:r>
          <w:rPr>
            <w:rStyle w:val="Hipervnculo"/>
          </w:rPr>
          <w:t xml:space="preserve">https://doi.org/10.1177/0008429820920885</w:t>
        </w:r>
      </w:hyperlink>
    </w:p>
    <w:bookmarkEnd w:id="140"/>
    <w:bookmarkStart w:id="142"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41">
        <w:r>
          <w:rPr>
            <w:rStyle w:val="Hipervnculo"/>
          </w:rPr>
          <w:t xml:space="preserve">https://doi.org/10.1002/(SICI)1099-0992(199605)26:3&lt;397::AID-EJSP763&gt;3.0.CO;2-J</w:t>
        </w:r>
      </w:hyperlink>
    </w:p>
    <w:bookmarkEnd w:id="142"/>
    <w:bookmarkStart w:id="144"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43">
        <w:r>
          <w:rPr>
            <w:rStyle w:val="Hipervnculo"/>
          </w:rPr>
          <w:t xml:space="preserve">https://doi.org/10.1177/0010414019879947</w:t>
        </w:r>
      </w:hyperlink>
    </w:p>
    <w:bookmarkEnd w:id="144"/>
    <w:bookmarkStart w:id="145"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45"/>
    <w:bookmarkStart w:id="147"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46">
        <w:r>
          <w:rPr>
            <w:rStyle w:val="Hipervnculo"/>
          </w:rPr>
          <w:t xml:space="preserve">https://doi.org/10.1177/0192512117702755</w:t>
        </w:r>
      </w:hyperlink>
    </w:p>
    <w:bookmarkEnd w:id="147"/>
    <w:bookmarkStart w:id="149"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48">
        <w:r>
          <w:rPr>
            <w:rStyle w:val="Hipervnculo"/>
          </w:rPr>
          <w:t xml:space="preserve">https://doi.org/10.1177/0022022103034003005</w:t>
        </w:r>
      </w:hyperlink>
    </w:p>
    <w:bookmarkEnd w:id="149"/>
    <w:bookmarkStart w:id="151"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50">
        <w:r>
          <w:rPr>
            <w:rStyle w:val="Hipervnculo"/>
          </w:rPr>
          <w:t xml:space="preserve">https://doi.org/10.1177/0022022108328917</w:t>
        </w:r>
      </w:hyperlink>
    </w:p>
    <w:bookmarkEnd w:id="151"/>
    <w:bookmarkStart w:id="153" w:name="ref-komarraju2008"/>
    <w:p>
      <w:pPr>
        <w:pStyle w:val="Bibliografa"/>
      </w:pPr>
      <w:r>
        <w:t xml:space="preserve">Komarraju, M., &amp; Cokley, K. O. (2008). Horizontal and vertical dimensions of individualism-collectivism:</w:t>
      </w:r>
      <w:r>
        <w:t xml:space="preserve"> </w:t>
      </w:r>
      <w:r>
        <w:t xml:space="preserve">A</w:t>
      </w:r>
      <w:r>
        <w:t xml:space="preserve"> </w:t>
      </w:r>
      <w:r>
        <w:t xml:space="preserve">comparison of</w:t>
      </w:r>
      <w:r>
        <w:t xml:space="preserve"> </w:t>
      </w:r>
      <w:r>
        <w:t xml:space="preserve">African Americans</w:t>
      </w:r>
      <w:r>
        <w:t xml:space="preserve"> </w:t>
      </w:r>
      <w:r>
        <w:t xml:space="preserve">and</w:t>
      </w:r>
      <w:r>
        <w:t xml:space="preserve"> </w:t>
      </w:r>
      <w:r>
        <w:t xml:space="preserve">European Americans</w:t>
      </w:r>
      <w:r>
        <w:t xml:space="preserve">.</w:t>
      </w:r>
      <w:r>
        <w:t xml:space="preserve"> </w:t>
      </w:r>
      <w:r>
        <w:rPr>
          <w:iCs/>
          <w:i/>
        </w:rPr>
        <w:t xml:space="preserve">Cultural Diversity and Ethnic Minority Psychology</w:t>
      </w:r>
      <w:r>
        <w:t xml:space="preserve">,</w:t>
      </w:r>
      <w:r>
        <w:t xml:space="preserve"> </w:t>
      </w:r>
      <w:r>
        <w:rPr>
          <w:iCs/>
          <w:i/>
        </w:rPr>
        <w:t xml:space="preserve">14</w:t>
      </w:r>
      <w:r>
        <w:t xml:space="preserve">(4), 336–343.</w:t>
      </w:r>
      <w:r>
        <w:t xml:space="preserve"> </w:t>
      </w:r>
      <w:hyperlink r:id="rId152">
        <w:r>
          <w:rPr>
            <w:rStyle w:val="Hipervnculo"/>
          </w:rPr>
          <w:t xml:space="preserve">https://doi.org/10.1037/1099-9809.14.4.336</w:t>
        </w:r>
      </w:hyperlink>
    </w:p>
    <w:bookmarkEnd w:id="153"/>
    <w:bookmarkStart w:id="155"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54">
        <w:r>
          <w:rPr>
            <w:rStyle w:val="Hipervnculo"/>
          </w:rPr>
          <w:t xml:space="preserve">https://doi.org/10.1016/j.ejpoleco.2015.11.005</w:t>
        </w:r>
      </w:hyperlink>
    </w:p>
    <w:bookmarkEnd w:id="155"/>
    <w:bookmarkStart w:id="157"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56">
        <w:r>
          <w:rPr>
            <w:rStyle w:val="Hipervnculo"/>
          </w:rPr>
          <w:t xml:space="preserve">https://doi.org/10.5964/jspp.6213</w:t>
        </w:r>
      </w:hyperlink>
    </w:p>
    <w:bookmarkEnd w:id="157"/>
    <w:bookmarkStart w:id="159"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58">
        <w:r>
          <w:rPr>
            <w:rStyle w:val="Hipervnculo"/>
          </w:rPr>
          <w:t xml:space="preserve">https://doi.org/10.18637/jss.v042.i10</w:t>
        </w:r>
      </w:hyperlink>
    </w:p>
    <w:bookmarkEnd w:id="159"/>
    <w:bookmarkStart w:id="161"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60">
        <w:r>
          <w:rPr>
            <w:rStyle w:val="Hipervnculo"/>
          </w:rPr>
          <w:t xml:space="preserve">https://doi.org/10.1353/jod.2016.0046</w:t>
        </w:r>
      </w:hyperlink>
    </w:p>
    <w:bookmarkEnd w:id="161"/>
    <w:bookmarkStart w:id="162" w:name="ref-magidson2002"/>
    <w:p>
      <w:pPr>
        <w:pStyle w:val="Bibliografa"/>
      </w:pPr>
      <w:r>
        <w:t xml:space="preserve">Magidson, J., &amp; Vermunt, J. K. (2002).</w:t>
      </w:r>
      <w:r>
        <w:t xml:space="preserve"> </w:t>
      </w:r>
      <w:r>
        <w:rPr>
          <w:iCs/>
          <w:i/>
        </w:rPr>
        <w:t xml:space="preserve">Latent class models for clustering:</w:t>
      </w:r>
      <w:r>
        <w:rPr>
          <w:iCs/>
          <w:i/>
        </w:rPr>
        <w:t xml:space="preserve"> </w:t>
      </w:r>
      <w:r>
        <w:rPr>
          <w:iCs/>
          <w:i/>
        </w:rPr>
        <w:t xml:space="preserve">A</w:t>
      </w:r>
      <w:r>
        <w:rPr>
          <w:iCs/>
          <w:i/>
        </w:rPr>
        <w:t xml:space="preserve"> </w:t>
      </w:r>
      <w:r>
        <w:rPr>
          <w:iCs/>
          <w:i/>
        </w:rPr>
        <w:t xml:space="preserve">comparison with</w:t>
      </w:r>
      <w:r>
        <w:rPr>
          <w:iCs/>
          <w:i/>
        </w:rPr>
        <w:t xml:space="preserve"> </w:t>
      </w:r>
      <w:r>
        <w:rPr>
          <w:iCs/>
          <w:i/>
        </w:rPr>
        <w:t xml:space="preserve">K-means</w:t>
      </w:r>
      <w:r>
        <w:t xml:space="preserve">.</w:t>
      </w:r>
      <w:r>
        <w:t xml:space="preserve"> </w:t>
      </w:r>
      <w:r>
        <w:rPr>
          <w:iCs/>
          <w:i/>
        </w:rPr>
        <w:t xml:space="preserve">20</w:t>
      </w:r>
      <w:r>
        <w:t xml:space="preserve">, 37–44.</w:t>
      </w:r>
    </w:p>
    <w:bookmarkEnd w:id="162"/>
    <w:bookmarkStart w:id="164"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63">
        <w:r>
          <w:rPr>
            <w:rStyle w:val="Hipervnculo"/>
          </w:rPr>
          <w:t xml:space="preserve">https://doi.org/10.1111/bjso.12290</w:t>
        </w:r>
      </w:hyperlink>
    </w:p>
    <w:bookmarkEnd w:id="164"/>
    <w:bookmarkStart w:id="166"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65">
        <w:r>
          <w:rPr>
            <w:rStyle w:val="Hipervnculo"/>
          </w:rPr>
          <w:t xml:space="preserve">https://doi.org/10.1111/bjso.12499</w:t>
        </w:r>
      </w:hyperlink>
    </w:p>
    <w:bookmarkEnd w:id="166"/>
    <w:bookmarkStart w:id="167" w:name="ref-martuccelli2010"/>
    <w:p>
      <w:pPr>
        <w:pStyle w:val="Bibliografa"/>
      </w:pPr>
      <w:r>
        <w:t xml:space="preserve">Martuccelli, D. (2010).</w:t>
      </w:r>
      <w:r>
        <w:t xml:space="preserve"> </w:t>
      </w:r>
      <w:r>
        <w:rPr>
          <w:iCs/>
          <w:i/>
        </w:rPr>
        <w:t xml:space="preserve">Existen individuos en el sur?</w:t>
      </w:r>
      <w:r>
        <w:t xml:space="preserve"> LOM.</w:t>
      </w:r>
    </w:p>
    <w:bookmarkEnd w:id="167"/>
    <w:bookmarkStart w:id="169"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68">
        <w:r>
          <w:rPr>
            <w:rStyle w:val="Hipervnculo"/>
          </w:rPr>
          <w:t xml:space="preserve">https://doi.org/10.24201/es.2019v37n109.1732</w:t>
        </w:r>
      </w:hyperlink>
    </w:p>
    <w:bookmarkEnd w:id="169"/>
    <w:bookmarkStart w:id="171"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70">
        <w:r>
          <w:rPr>
            <w:rStyle w:val="Hipervnculo"/>
          </w:rPr>
          <w:t xml:space="preserve">https://doi.org/10.1111/j.1460-2466.1998.tb02773.x</w:t>
        </w:r>
      </w:hyperlink>
    </w:p>
    <w:bookmarkEnd w:id="171"/>
    <w:bookmarkStart w:id="173"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72">
        <w:r>
          <w:rPr>
            <w:rStyle w:val="Hipervnculo"/>
          </w:rPr>
          <w:t xml:space="preserve">https://doi.org/10.1080/13569775.2018.1504426</w:t>
        </w:r>
      </w:hyperlink>
    </w:p>
    <w:bookmarkEnd w:id="173"/>
    <w:bookmarkStart w:id="175"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74">
        <w:r>
          <w:rPr>
            <w:rStyle w:val="Hipervnculo"/>
          </w:rPr>
          <w:t xml:space="preserve">https://doi.org/10.1016/j.ejpoleco.2020.101985</w:t>
        </w:r>
      </w:hyperlink>
    </w:p>
    <w:bookmarkEnd w:id="175"/>
    <w:bookmarkStart w:id="177" w:name="ref-nylund2007"/>
    <w:p>
      <w:pPr>
        <w:pStyle w:val="Bibliografa"/>
      </w:pPr>
      <w:r>
        <w:t xml:space="preserve">Nylund, K. L., Asparouhov, T., &amp; Muthén, B. O. (2007). Deciding on the</w:t>
      </w:r>
      <w:r>
        <w:t xml:space="preserve"> </w:t>
      </w:r>
      <w:r>
        <w:t xml:space="preserve">Number</w:t>
      </w:r>
      <w:r>
        <w:t xml:space="preserve"> </w:t>
      </w:r>
      <w:r>
        <w:t xml:space="preserve">of</w:t>
      </w:r>
      <w:r>
        <w:t xml:space="preserve"> </w:t>
      </w:r>
      <w:r>
        <w:t xml:space="preserve">Classes</w:t>
      </w:r>
      <w:r>
        <w:t xml:space="preserve"> </w:t>
      </w:r>
      <w:r>
        <w:t xml:space="preserve">in</w:t>
      </w:r>
      <w:r>
        <w:t xml:space="preserve"> </w:t>
      </w:r>
      <w:r>
        <w:t xml:space="preserve">Latent Class Analysis</w:t>
      </w:r>
      <w:r>
        <w:t xml:space="preserve"> </w:t>
      </w:r>
      <w:r>
        <w:t xml:space="preserve">and</w:t>
      </w:r>
      <w:r>
        <w:t xml:space="preserve"> </w:t>
      </w:r>
      <w:r>
        <w:t xml:space="preserve">Growth Mixture Modeling</w:t>
      </w:r>
      <w:r>
        <w:t xml:space="preserve">:</w:t>
      </w:r>
      <w:r>
        <w:t xml:space="preserve"> </w:t>
      </w:r>
      <w:r>
        <w:t xml:space="preserve">A Monte Carlo Simulation Study</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(4), 535–569.</w:t>
      </w:r>
      <w:r>
        <w:t xml:space="preserve"> </w:t>
      </w:r>
      <w:hyperlink r:id="rId176">
        <w:r>
          <w:rPr>
            <w:rStyle w:val="Hipervnculo"/>
          </w:rPr>
          <w:t xml:space="preserve">https://doi.org/10.1080/10705510701575396</w:t>
        </w:r>
      </w:hyperlink>
    </w:p>
    <w:bookmarkEnd w:id="177"/>
    <w:bookmarkStart w:id="179"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78">
        <w:r>
          <w:rPr>
            <w:rStyle w:val="Hipervnculo"/>
          </w:rPr>
          <w:t xml:space="preserve">https://doi.org/10.1353/jod.1994.0010</w:t>
        </w:r>
      </w:hyperlink>
    </w:p>
    <w:bookmarkEnd w:id="179"/>
    <w:bookmarkStart w:id="181"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80">
        <w:r>
          <w:rPr>
            <w:rStyle w:val="Hipervnculo"/>
          </w:rPr>
          <w:t xml:space="preserve">https://doi.org/10.1037/0033-2909.128.1.3</w:t>
        </w:r>
      </w:hyperlink>
    </w:p>
    <w:bookmarkEnd w:id="181"/>
    <w:bookmarkStart w:id="182"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82"/>
    <w:bookmarkStart w:id="184" w:name="ref-pilet2023"/>
    <w:p>
      <w:pPr>
        <w:pStyle w:val="Bibliografa"/>
      </w:pPr>
      <w:r>
        <w:t xml:space="preserve">Pilet, J.-B., Vittori, D., Rojon, S., &amp; Paulis, E. (2023). Who do</w:t>
      </w:r>
      <w:r>
        <w:t xml:space="preserve"> </w:t>
      </w:r>
      <w:r>
        <w:t xml:space="preserve">Europeans</w:t>
      </w:r>
      <w:r>
        <w:t xml:space="preserve"> </w:t>
      </w:r>
      <w:r>
        <w:t xml:space="preserve">want to govern?</w:t>
      </w:r>
      <w:r>
        <w:t xml:space="preserve"> </w:t>
      </w:r>
      <w:r>
        <w:t xml:space="preserve">Exploring</w:t>
      </w:r>
      <w:r>
        <w:t xml:space="preserve"> </w:t>
      </w:r>
      <w:r>
        <w:t xml:space="preserve">the multiple dimensions of citizens’ preferences for political actors in nine</w:t>
      </w:r>
      <w:r>
        <w:t xml:space="preserve"> </w:t>
      </w:r>
      <w:r>
        <w:t xml:space="preserve">European</w:t>
      </w:r>
      <w:r>
        <w:t xml:space="preserve"> </w:t>
      </w:r>
      <w:r>
        <w:t xml:space="preserve">countries.</w:t>
      </w:r>
      <w:r>
        <w:t xml:space="preserve"> </w:t>
      </w:r>
      <w:r>
        <w:rPr>
          <w:iCs/>
          <w:i/>
        </w:rPr>
        <w:t xml:space="preserve">Party Politics</w:t>
      </w:r>
      <w:r>
        <w:t xml:space="preserve">, 135406882311539.</w:t>
      </w:r>
      <w:r>
        <w:t xml:space="preserve"> </w:t>
      </w:r>
      <w:hyperlink r:id="rId183">
        <w:r>
          <w:rPr>
            <w:rStyle w:val="Hipervnculo"/>
          </w:rPr>
          <w:t xml:space="preserve">https://doi.org/10.1177/13540688231153932</w:t>
        </w:r>
      </w:hyperlink>
    </w:p>
    <w:bookmarkEnd w:id="184"/>
    <w:bookmarkStart w:id="186"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85">
        <w:r>
          <w:rPr>
            <w:rStyle w:val="Hipervnculo"/>
          </w:rPr>
          <w:t xml:space="preserve">https://doi.org/10.1590/S1135-57272001000100003</w:t>
        </w:r>
      </w:hyperlink>
    </w:p>
    <w:bookmarkEnd w:id="186"/>
    <w:bookmarkStart w:id="188"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87">
        <w:r>
          <w:rPr>
            <w:rStyle w:val="Hipervnculo"/>
          </w:rPr>
          <w:t xml:space="preserve">https://doi.org/10.1111/1475-6765.12374</w:t>
        </w:r>
      </w:hyperlink>
    </w:p>
    <w:bookmarkEnd w:id="188"/>
    <w:bookmarkStart w:id="189"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89"/>
    <w:bookmarkStart w:id="190"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90"/>
    <w:bookmarkStart w:id="192"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91">
        <w:r>
          <w:rPr>
            <w:rStyle w:val="Hipervnculo"/>
          </w:rPr>
          <w:t xml:space="preserve">https://doi.org/10.1111/ruso.12408</w:t>
        </w:r>
      </w:hyperlink>
    </w:p>
    <w:bookmarkEnd w:id="192"/>
    <w:bookmarkStart w:id="194" w:name="ref-schmitt1996"/>
    <w:p>
      <w:pPr>
        <w:pStyle w:val="Bibliografa"/>
      </w:pPr>
      <w:r>
        <w:t xml:space="preserve">Schmitt, N. (1996). Uses and abuses of coefficient alpha.</w:t>
      </w:r>
      <w:r>
        <w:t xml:space="preserve"> </w:t>
      </w:r>
      <w:r>
        <w:rPr>
          <w:iCs/>
          <w:i/>
        </w:rPr>
        <w:t xml:space="preserve">Psychological Assessment</w:t>
      </w:r>
      <w:r>
        <w:t xml:space="preserve">,</w:t>
      </w:r>
      <w:r>
        <w:t xml:space="preserve"> </w:t>
      </w:r>
      <w:r>
        <w:rPr>
          <w:iCs/>
          <w:i/>
        </w:rPr>
        <w:t xml:space="preserve">8</w:t>
      </w:r>
      <w:r>
        <w:t xml:space="preserve">(4), 350–353.</w:t>
      </w:r>
      <w:r>
        <w:t xml:space="preserve"> </w:t>
      </w:r>
      <w:hyperlink r:id="rId193">
        <w:r>
          <w:rPr>
            <w:rStyle w:val="Hipervnculo"/>
          </w:rPr>
          <w:t xml:space="preserve">https://doi.org/10.1037/1040-3590.8.4.350</w:t>
        </w:r>
      </w:hyperlink>
    </w:p>
    <w:bookmarkEnd w:id="194"/>
    <w:bookmarkStart w:id="196"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95">
        <w:r>
          <w:rPr>
            <w:rStyle w:val="Hipervnculo"/>
          </w:rPr>
          <w:t xml:space="preserve">https://doi.org/10.1016/j.leaqua.2022.101608</w:t>
        </w:r>
      </w:hyperlink>
    </w:p>
    <w:bookmarkEnd w:id="196"/>
    <w:bookmarkStart w:id="197"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97"/>
    <w:bookmarkStart w:id="199"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98">
        <w:r>
          <w:rPr>
            <w:rStyle w:val="Hipervnculo"/>
          </w:rPr>
          <w:t xml:space="preserve">https://doi.org/10.1016/S0191-8869(98)00258-X</w:t>
        </w:r>
      </w:hyperlink>
    </w:p>
    <w:bookmarkEnd w:id="199"/>
    <w:bookmarkStart w:id="201" w:name="ref-toppi2018"/>
    <w:p>
      <w:pPr>
        <w:pStyle w:val="Bibliografa"/>
      </w:pPr>
      <w:r>
        <w:t xml:space="preserve">Toppi, H. P. (2018).</w:t>
      </w:r>
      <w:r>
        <w:t xml:space="preserve"> </w:t>
      </w:r>
      <w:r>
        <w:t xml:space="preserve">Guillermo O’Donnell y su aporte al desarrollo de la democracia en Am</w:t>
      </w:r>
      <w:r>
        <w:t xml:space="preserve">é</w:t>
      </w:r>
      <w:r>
        <w:t xml:space="preserve">rica Latina desde la tercera ola de democratizaci</w:t>
      </w:r>
      <w:r>
        <w:t xml:space="preserve">ó</w:t>
      </w:r>
      <w:r>
        <w:t xml:space="preserve">n</w:t>
      </w:r>
      <w:r>
        <w:t xml:space="preserve">.</w:t>
      </w:r>
      <w:r>
        <w:t xml:space="preserve"> </w:t>
      </w:r>
      <w:r>
        <w:rPr>
          <w:iCs/>
          <w:i/>
        </w:rPr>
        <w:t xml:space="preserve">REVISTA IUS</w:t>
      </w:r>
      <w:r>
        <w:t xml:space="preserve">,</w:t>
      </w:r>
      <w:r>
        <w:t xml:space="preserve"> </w:t>
      </w:r>
      <w:r>
        <w:rPr>
          <w:iCs/>
          <w:i/>
        </w:rPr>
        <w:t xml:space="preserve">12</w:t>
      </w:r>
      <w:r>
        <w:t xml:space="preserve">(42).</w:t>
      </w:r>
      <w:r>
        <w:t xml:space="preserve"> </w:t>
      </w:r>
      <w:hyperlink r:id="rId200">
        <w:r>
          <w:rPr>
            <w:rStyle w:val="Hipervnculo"/>
          </w:rPr>
          <w:t xml:space="preserve">https://doi.org/10.35487/rius.v12i42.2018.407</w:t>
        </w:r>
      </w:hyperlink>
    </w:p>
    <w:bookmarkEnd w:id="201"/>
    <w:bookmarkStart w:id="203"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202">
        <w:r>
          <w:rPr>
            <w:rStyle w:val="Hipervnculo"/>
          </w:rPr>
          <w:t xml:space="preserve">https://doi.org/10.1080/00224540209603912</w:t>
        </w:r>
      </w:hyperlink>
    </w:p>
    <w:bookmarkEnd w:id="203"/>
    <w:bookmarkStart w:id="205"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204">
        <w:r>
          <w:rPr>
            <w:rStyle w:val="Hipervnculo"/>
          </w:rPr>
          <w:t xml:space="preserve">https://doi.org/10.1080/17544750903528799</w:t>
        </w:r>
      </w:hyperlink>
    </w:p>
    <w:bookmarkEnd w:id="205"/>
    <w:bookmarkStart w:id="207"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206">
        <w:r>
          <w:rPr>
            <w:rStyle w:val="Hipervnculo"/>
          </w:rPr>
          <w:t xml:space="preserve">https://doi.org/10.1080/13510347.2019.1656198</w:t>
        </w:r>
      </w:hyperlink>
    </w:p>
    <w:bookmarkEnd w:id="207"/>
    <w:bookmarkStart w:id="209"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208">
        <w:r>
          <w:rPr>
            <w:rStyle w:val="Hipervnculo"/>
          </w:rPr>
          <w:t xml:space="preserve">https://doi.org/10.5964/jspp.7235</w:t>
        </w:r>
      </w:hyperlink>
    </w:p>
    <w:bookmarkEnd w:id="209"/>
    <w:bookmarkStart w:id="210"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210"/>
    <w:bookmarkStart w:id="212" w:name="ref-yopo2013"/>
    <w:p>
      <w:pPr>
        <w:pStyle w:val="Bibliografa"/>
      </w:pPr>
      <w:r>
        <w:t xml:space="preserve">Yopo, M. (2013).</w:t>
      </w:r>
      <w:r>
        <w:t xml:space="preserve"> </w:t>
      </w:r>
      <w:r>
        <w:t xml:space="preserve">Individualizaci</w:t>
      </w:r>
      <w:r>
        <w:t xml:space="preserve">ó</w:t>
      </w:r>
      <w:r>
        <w:t xml:space="preserve">n en Chile. Individuo y sociedad en las transformaciones culturales recientes</w:t>
      </w:r>
      <w:r>
        <w:t xml:space="preserve">.</w:t>
      </w:r>
      <w:r>
        <w:t xml:space="preserve"> </w:t>
      </w:r>
      <w:r>
        <w:rPr>
          <w:iCs/>
          <w:i/>
        </w:rPr>
        <w:t xml:space="preserve">Psicoperspectivas. Individuo y Sociedad</w:t>
      </w:r>
      <w:r>
        <w:t xml:space="preserve">,</w:t>
      </w:r>
      <w:r>
        <w:t xml:space="preserve"> </w:t>
      </w:r>
      <w:r>
        <w:rPr>
          <w:iCs/>
          <w:i/>
        </w:rPr>
        <w:t xml:space="preserve">12</w:t>
      </w:r>
      <w:r>
        <w:t xml:space="preserve">(2), 4–15.</w:t>
      </w:r>
      <w:r>
        <w:t xml:space="preserve"> </w:t>
      </w:r>
      <w:hyperlink r:id="rId211">
        <w:r>
          <w:rPr>
            <w:rStyle w:val="Hipervnculo"/>
          </w:rPr>
          <w:t xml:space="preserve">https://doi.org/10.5027/psicoperspectivas-Vol12-Issue2-fulltext-254</w:t>
        </w:r>
      </w:hyperlink>
    </w:p>
    <w:bookmarkEnd w:id="212"/>
    <w:bookmarkStart w:id="214"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213">
        <w:r>
          <w:rPr>
            <w:rStyle w:val="Hipervnculo"/>
          </w:rPr>
          <w:t xml:space="preserve">https://doi.org/10.1016/j.paid.2005.02.026</w:t>
        </w:r>
      </w:hyperlink>
    </w:p>
    <w:bookmarkEnd w:id="214"/>
    <w:bookmarkStart w:id="216"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215">
        <w:r>
          <w:rPr>
            <w:rStyle w:val="Hipervnculo"/>
          </w:rPr>
          <w:t xml:space="preserve">https://doi.org/10.1007/s11205-021-02807-3</w:t>
        </w:r>
      </w:hyperlink>
    </w:p>
    <w:bookmarkEnd w:id="216"/>
    <w:bookmarkStart w:id="218"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217">
        <w:r>
          <w:rPr>
            <w:rStyle w:val="Hipervnculo"/>
          </w:rPr>
          <w:t xml:space="preserve">https://doi.org/10.1016/j.jcps.2009.02.012</w:t>
        </w:r>
      </w:hyperlink>
    </w:p>
    <w:bookmarkEnd w:id="218"/>
    <w:bookmarkStart w:id="220"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219">
        <w:r>
          <w:rPr>
            <w:rStyle w:val="Hipervnculo"/>
          </w:rPr>
          <w:t xml:space="preserve">https://doi.org/10.1174/021347410791063778</w:t>
        </w:r>
      </w:hyperlink>
    </w:p>
    <w:bookmarkEnd w:id="220"/>
    <w:bookmarkEnd w:id="221"/>
    <w:bookmarkEnd w:id="222"/>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Notoriamente, la definición de individualismo de Hofstede incluye una mención a la familia.</w:t>
      </w:r>
    </w:p>
  </w:footnote>
  <w:footnote w:id="28">
    <w:p>
      <w:pPr>
        <w:pStyle w:val="Textonotapie"/>
      </w:pPr>
      <w:r>
        <w:rPr>
          <w:rStyle w:val="Refdenotaalpie"/>
        </w:rPr>
        <w:footnoteRef/>
      </w:r>
      <w:r>
        <w:t xml:space="preserve"> </w:t>
      </w:r>
      <w:r>
        <w:t xml:space="preserve">Por ejemplo, partidos políticos, movimientos sociales o sindicatos. Pero, también, un matrimonio o un grupo de amigos.</w:t>
      </w:r>
    </w:p>
  </w:footnote>
  <w:footnote w:id="35">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 w:id="53">
    <w:p>
      <w:pPr>
        <w:pStyle w:val="Textonotapie"/>
      </w:pPr>
      <w:r>
        <w:rPr>
          <w:rStyle w:val="Refdenotaalpie"/>
        </w:rPr>
        <w:footnoteRef/>
      </w:r>
      <w:r>
        <w:t xml:space="preserve"> </w:t>
      </w:r>
      <w:r>
        <w:t xml:space="preserve">En una escala del 1 al 10, se consideró como ingreso subjetivo bajo del 1 al 3; medio-baja del 4 al 5; medio-alto del 6 al 7; y alto del 8 al 10.</w:t>
      </w:r>
    </w:p>
  </w:footnote>
  <w:footnote w:id="68">
    <w:p>
      <w:pPr>
        <w:pStyle w:val="Textonotapie"/>
      </w:pPr>
      <w:r>
        <w:rPr>
          <w:rStyle w:val="Refdenotaalpie"/>
        </w:rPr>
        <w:footnoteRef/>
      </w:r>
      <w:r>
        <w:t xml:space="preserve"> </w:t>
      </w:r>
      <w:r>
        <w:t xml:space="preserve">Un resumen detallado del cruce entre indicadores sociodemográficos y perfiles de individuo se presenta en los anexos.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9" Target="media/rId6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dcterms:created xsi:type="dcterms:W3CDTF">2024-03-14T20:32:13Z</dcterms:created>
  <dcterms:modified xsi:type="dcterms:W3CDTF">2024-03-14T20:32:13Z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concretó, se propuso establecer cómo el apoyo a una democracia delegativa – Una variante de democracia que se caracteriza por un presidente con un liderazgo fuerte que le permite eludir el control de otras instituciones, bajo la justificación de sanar y unificar la nación –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lineal, se observó que estos perfiles de individualismo presentan diferencias significativas en su nivel de apoyo a la democracia delegativa. Mientras que el Individualismo Agéntico y el Autoritario muestran una relación positiva con este tipo de democracia, el Individualismo Conservador y el Liberal tienden a relacionarse negativamente.Los resultados sugieren que la relación entre el individualismo y el apoyo a la democracia delegativa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Democracia Delegativa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