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2BC6" w14:textId="77777777" w:rsidR="00102E0C" w:rsidRDefault="00000000" w:rsidP="00331AE1">
      <w:pPr>
        <w:pStyle w:val="Title"/>
        <w:jc w:val="center"/>
      </w:pPr>
      <w:r>
        <w:t>Low-Cost Cellular Accelerometer Node for Structural Health Monitoring</w:t>
      </w:r>
    </w:p>
    <w:p w14:paraId="6ECB2E82" w14:textId="77777777" w:rsidR="00102E0C" w:rsidRDefault="00000000">
      <w:pPr>
        <w:jc w:val="center"/>
      </w:pPr>
      <w:r>
        <w:t>Gabe Kafka-Gibbons</w:t>
      </w:r>
    </w:p>
    <w:p w14:paraId="03C41A81" w14:textId="77777777" w:rsidR="00102E0C" w:rsidRDefault="00000000">
      <w:pPr>
        <w:jc w:val="center"/>
      </w:pPr>
      <w:r>
        <w:t>NYU Tandon School of Engineering</w:t>
      </w:r>
    </w:p>
    <w:p w14:paraId="15398249" w14:textId="77777777" w:rsidR="00102E0C" w:rsidRDefault="00000000">
      <w:pPr>
        <w:jc w:val="center"/>
      </w:pPr>
      <w:r>
        <w:t>Advisor: Masoud Ghandehari</w:t>
      </w:r>
    </w:p>
    <w:p w14:paraId="5A47DF91" w14:textId="77777777" w:rsidR="00102E0C" w:rsidRDefault="00000000">
      <w:pPr>
        <w:jc w:val="center"/>
      </w:pPr>
      <w:r>
        <w:t>Project context: Puerto Rico transmission tower structural health monitoring</w:t>
      </w:r>
    </w:p>
    <w:p w14:paraId="1258AE99" w14:textId="77777777" w:rsidR="00102E0C" w:rsidRDefault="00000000">
      <w:pPr>
        <w:jc w:val="center"/>
      </w:pPr>
      <w:r>
        <w:t>Final report due: May 15, 2026</w:t>
      </w:r>
    </w:p>
    <w:p w14:paraId="6F2ECCCA" w14:textId="77777777" w:rsidR="00102E0C" w:rsidRDefault="00000000">
      <w:pPr>
        <w:spacing w:before="720"/>
        <w:jc w:val="center"/>
      </w:pPr>
      <w:r>
        <w:rPr>
          <w:b/>
        </w:rPr>
        <w:t>Working thesis</w:t>
      </w:r>
    </w:p>
    <w:p w14:paraId="71735DD6" w14:textId="77777777" w:rsidR="00102E0C" w:rsidRDefault="00E23B7A">
      <w:pPr>
        <w:jc w:val="center"/>
      </w:pPr>
      <w:r>
        <w:t>The prototype demonstrates continuous acceleration sensing, LTE-M cloud upload, and reference-sensor agreement; the power analysis supports a solar-assisted duty-cycled field design, while the current continuous-post firmware defines the next power-optimization step before extended deployment.</w:t>
      </w:r>
    </w:p>
    <w:p w14:paraId="71E3CFB4" w14:textId="77777777" w:rsidR="007F61C4" w:rsidRDefault="007F61C4">
      <w:pPr>
        <w:pStyle w:val="TemplatePlaceholder"/>
        <w:jc w:val="center"/>
      </w:pPr>
    </w:p>
    <w:p w14:paraId="4BA41B0F" w14:textId="77777777" w:rsidR="00102E0C" w:rsidRDefault="00000000">
      <w:r>
        <w:br w:type="page"/>
      </w:r>
    </w:p>
    <w:p w14:paraId="71AEF33A" w14:textId="77777777" w:rsidR="00102E0C" w:rsidRDefault="00000000">
      <w:pPr>
        <w:pStyle w:val="Heading1"/>
      </w:pPr>
      <w:r>
        <w:lastRenderedPageBreak/>
        <w:t>Abstract</w:t>
      </w:r>
    </w:p>
    <w:p w14:paraId="5FB5DDAC" w14:textId="77777777" w:rsidR="00102E0C" w:rsidRDefault="00000000">
      <w:r>
        <w:t xml:space="preserve">Transmission towers </w:t>
      </w:r>
      <w:r w:rsidR="00F42FF3">
        <w:t xml:space="preserve">in Puerto Rico </w:t>
      </w:r>
      <w:r>
        <w:t xml:space="preserve">are exposed to wind, corrosion, fatigue, and </w:t>
      </w:r>
      <w:r w:rsidR="00F42FF3">
        <w:t xml:space="preserve">notably </w:t>
      </w:r>
      <w:r>
        <w:t xml:space="preserve">hurricane loading, but post-event assessment </w:t>
      </w:r>
      <w:r w:rsidR="00F42FF3">
        <w:t xml:space="preserve">is </w:t>
      </w:r>
      <w:r>
        <w:t xml:space="preserve">often </w:t>
      </w:r>
      <w:r w:rsidR="00F42FF3">
        <w:t xml:space="preserve">limited to </w:t>
      </w:r>
      <w:r>
        <w:t>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principal remaining limitations are the short validation window, mounting and axis-alignment uncertainty, external-buffer state-of-charge telemetry, and the need for longer unattended field testing under realistic solar and LTE conditions.</w:t>
      </w:r>
    </w:p>
    <w:p w14:paraId="5F05F503" w14:textId="77777777" w:rsidR="00102E0C" w:rsidRDefault="00000000">
      <w:pPr>
        <w:pStyle w:val="Heading2"/>
      </w:pPr>
      <w:r>
        <w:t>Keywords</w:t>
      </w:r>
    </w:p>
    <w:p w14:paraId="029552A7"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5908CFC" w14:textId="77777777" w:rsidR="00102E0C" w:rsidRDefault="00000000">
      <w:pPr>
        <w:pStyle w:val="Heading1"/>
      </w:pPr>
      <w:r>
        <w:t>Table of Contents</w:t>
      </w:r>
    </w:p>
    <w:p w14:paraId="057D81DC" w14:textId="77777777" w:rsidR="00102E0C" w:rsidRDefault="00000000">
      <w:r>
        <w:fldChar w:fldCharType="begin"/>
      </w:r>
      <w:r>
        <w:instrText>TOC \o "1-3" \h \z \u</w:instrText>
      </w:r>
      <w:r>
        <w:fldChar w:fldCharType="separate"/>
      </w:r>
      <w:r>
        <w:t>Right-click and update field after editing.</w:t>
      </w:r>
      <w:r>
        <w:fldChar w:fldCharType="end"/>
      </w:r>
    </w:p>
    <w:p w14:paraId="3AEB8507" w14:textId="77777777" w:rsidR="00102E0C" w:rsidRDefault="00000000">
      <w:r>
        <w:br w:type="page"/>
      </w:r>
    </w:p>
    <w:p w14:paraId="785B288B" w14:textId="77777777" w:rsidR="00102E0C" w:rsidRDefault="00000000">
      <w:pPr>
        <w:pStyle w:val="Heading1"/>
      </w:pPr>
      <w:r>
        <w:lastRenderedPageBreak/>
        <w:t>1. Broader Objective</w:t>
      </w:r>
    </w:p>
    <w:p w14:paraId="5C2F55E1" w14:textId="77777777" w:rsidR="00102E0C" w:rsidRDefault="00000000">
      <w:pPr>
        <w:pStyle w:val="Heading2"/>
      </w:pPr>
      <w:r>
        <w:t>1.1 Engineering Context</w:t>
      </w:r>
    </w:p>
    <w:p w14:paraId="1EFE7C78"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3F9D85E"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42EE60A5"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4DFE7341" w14:textId="77777777" w:rsidR="00102E0C" w:rsidRDefault="00000000">
      <w:pPr>
        <w:pStyle w:val="Heading2"/>
      </w:pPr>
      <w:r>
        <w:t>1.2 Research Objective</w:t>
      </w:r>
    </w:p>
    <w:p w14:paraId="3598723C"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future unattended field deployment.</w:t>
      </w:r>
    </w:p>
    <w:p w14:paraId="346337AC"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deployment readiness: the node must demonstrate working sensing, data transmission, power plausibility, and reference-sensor agreement well enough to justify longer outdoor testing.</w:t>
      </w:r>
    </w:p>
    <w:p w14:paraId="5D5B8D16" w14:textId="77777777" w:rsidR="00102E0C" w:rsidRDefault="00000000">
      <w:pPr>
        <w:pStyle w:val="Heading2"/>
      </w:pPr>
      <w:r>
        <w:lastRenderedPageBreak/>
        <w:t>1.3 Scope of This Report</w:t>
      </w:r>
    </w:p>
    <w:p w14:paraId="1C406966"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future field testing: the hardware architecture, firmware and cloud data path, power model, and comparison of the onboard accelerometer against a reference sensor.</w:t>
      </w:r>
    </w:p>
    <w:p w14:paraId="6E1830D0" w14:textId="5E7A236E" w:rsidR="00102E0C" w:rsidRDefault="00000000">
      <w:r>
        <w:t>The scope is intentionally limited to prototype feasibility. It does not claim production readiness, tower-level damage diagnosis, fleet-scale deployment, or environmental qualification. Remaining deployment work includes longer unattended outdoor operation, direct verification of the solar charging path, external-buffer state-of-charge monitoring, and additional validation data under realistic tower conditions.</w:t>
      </w:r>
    </w:p>
    <w:p w14:paraId="311595B2" w14:textId="77777777" w:rsidR="00102E0C" w:rsidRDefault="00000000">
      <w:pPr>
        <w:pStyle w:val="Heading1"/>
      </w:pPr>
      <w:r>
        <w:t>2. Specific Goals</w:t>
      </w:r>
    </w:p>
    <w:p w14:paraId="241CAA5A" w14:textId="77777777" w:rsidR="00102E0C" w:rsidRDefault="00000000">
      <w:pPr>
        <w:pStyle w:val="Heading2"/>
      </w:pPr>
      <w:r>
        <w:t>2.1 Goal Summary</w:t>
      </w:r>
    </w:p>
    <w:p w14:paraId="7AC00C9E" w14:textId="77777777" w:rsidR="00102E0C" w:rsidRDefault="00000000">
      <w:r>
        <w:t>The project goals translate the broader structural-health-monitoring objective into six measurable prototype outcomes:</w:t>
      </w:r>
    </w:p>
    <w:p w14:paraId="69404C34" w14:textId="77777777" w:rsidR="00102E0C" w:rsidRDefault="00000000">
      <w:pPr>
        <w:pStyle w:val="ListBullet"/>
      </w:pPr>
      <w:r>
        <w:t>Build a working sensing node using the Nordic Thingy:91 X and its onboard ADXL367 accelerometer, with raw triaxial acceleration available for analysis.</w:t>
      </w:r>
    </w:p>
    <w:p w14:paraId="62B8478C"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529DABD6"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05D612C1"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009A19B5"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32D8F2F2" w14:textId="77777777" w:rsidR="00102E0C" w:rsidRDefault="00000000">
      <w:pPr>
        <w:pStyle w:val="ListBullet"/>
      </w:pPr>
      <w:r>
        <w:t>Define the deployment envelope by identifying what the prototype already demonstrates and what remains before longer unattended outdoor operation, including mounting, enclosure, solar-path verification, and additional field data.</w:t>
      </w:r>
    </w:p>
    <w:p w14:paraId="34B10601" w14:textId="77777777" w:rsidR="00102E0C" w:rsidRDefault="00000000">
      <w:pPr>
        <w:pStyle w:val="Heading1"/>
      </w:pPr>
      <w:r>
        <w:t>3. Devices</w:t>
      </w:r>
    </w:p>
    <w:p w14:paraId="064030E7" w14:textId="77777777" w:rsidR="00102E0C" w:rsidRDefault="00000000">
      <w:pPr>
        <w:pStyle w:val="TemplatePlaceholder"/>
      </w:pPr>
      <w:r>
        <w:t>[Introduce the physical and software system. Keep this section descriptive and specific: what was built, what each part does, and what evidence proves it worked.]</w:t>
      </w:r>
    </w:p>
    <w:p w14:paraId="67A0CDE8" w14:textId="77777777" w:rsidR="00102E0C" w:rsidRDefault="00000000">
      <w:pPr>
        <w:pStyle w:val="Heading2"/>
      </w:pPr>
      <w:r>
        <w:lastRenderedPageBreak/>
        <w:t>3.1 Hardware</w:t>
      </w:r>
    </w:p>
    <w:p w14:paraId="1F081BC5"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151E09EB" w14:textId="77777777" w:rsidR="00102E0C" w:rsidRDefault="00000000">
      <w:pPr>
        <w:jc w:val="center"/>
      </w:pPr>
      <w:r>
        <w:rPr>
          <w:noProof/>
        </w:rPr>
        <w:drawing>
          <wp:inline distT="0" distB="0" distL="0" distR="0" wp14:anchorId="3E1A8DF9" wp14:editId="1BC553CA">
            <wp:extent cx="5943600" cy="4636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C6F3C6F" w14:textId="11919AC6"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126E53C8" w14:textId="77777777" w:rsidR="00102E0C" w:rsidRDefault="00000000">
      <w:r>
        <w:t>Editable source: public/diagrams/final-hardware-architecture.drawio. SVG export: public/diagrams/final-hardware-architecture.svg.</w:t>
      </w:r>
    </w:p>
    <w:p w14:paraId="0AD80314" w14:textId="16FEDCF3" w:rsidR="001A562E" w:rsidRDefault="001A562E" w:rsidP="001A562E">
      <w:r>
        <w:rPr>
          <w:noProof/>
        </w:rPr>
        <w:lastRenderedPageBreak/>
        <w:drawing>
          <wp:inline distT="0" distB="0" distL="0" distR="0" wp14:anchorId="1798913C" wp14:editId="4A6F0688">
            <wp:extent cx="3551188" cy="5943506"/>
            <wp:effectExtent l="0" t="2223" r="2858" b="2857"/>
            <wp:docPr id="181519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a14:shadowObscured xmlns:a14="http://schemas.microsoft.com/office/drawing/2010/main"/>
                      </a:ext>
                    </a:extLst>
                  </pic:spPr>
                </pic:pic>
              </a:graphicData>
            </a:graphic>
          </wp:inline>
        </w:drawing>
      </w:r>
    </w:p>
    <w:p w14:paraId="193373EB" w14:textId="77777777" w:rsidR="00495630" w:rsidRPr="001A562E" w:rsidRDefault="00495630" w:rsidP="001A562E">
      <w:pPr>
        <w:pStyle w:val="Caption"/>
      </w:pPr>
      <w:r>
        <w:t>Figure 3.2. Assembled prototype hardware used for integration testing. The photo shows the physical sensor node, solar panel, and external power hardware in the short-term test configuration before final tower-rated enclosure and rigid deployment mounting are completed.</w:t>
      </w:r>
    </w:p>
    <w:p w14:paraId="47ECFE9D" w14:textId="3AF93B23" w:rsidR="00102E0C" w:rsidRDefault="00000000">
      <w:pPr/>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27AA54E8" w14:textId="77777777" w:rsidR="00102E0C" w:rsidRDefault="00000000">
      <w:pPr>
        <w:pStyle w:val="Heading2"/>
      </w:pPr>
      <w:r>
        <w:t>3.2 Firmware and Software</w:t>
      </w:r>
    </w:p>
    <w:p w14:paraId="4C8803D9"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209E54F3"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52DA13A"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1908852F" w14:textId="77777777" w:rsidR="00102E0C" w:rsidRDefault="00000000">
      <w:pPr>
        <w:pStyle w:val="Heading2"/>
      </w:pPr>
      <w:r>
        <w:t>3.3 Cloud Data Pipeline</w:t>
      </w:r>
    </w:p>
    <w:p w14:paraId="76EA1E62" w14:textId="77777777" w:rsidR="00102E0C" w:rsidRDefault="00000000">
      <w:pPr/>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pPr>
        <w:spacing w:after="80"/>
        <w:jc w:val="center"/>
      </w:pPr>
      <w:r>
        <w:drawing>
          <wp:inline xmlns:a="http://schemas.openxmlformats.org/drawingml/2006/main" xmlns:pic="http://schemas.openxmlformats.org/drawingml/2006/picture">
            <wp:extent cx="5715000" cy="2115734"/>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20"/>
                    <a:stretch>
                      <a:fillRect/>
                    </a:stretch>
                  </pic:blipFill>
                  <pic:spPr>
                    <a:xfrm>
                      <a:off x="0" y="0"/>
                      <a:ext cx="5715000" cy="2115734"/>
                    </a:xfrm>
                    <a:prstGeom prst="rect"/>
                  </pic:spPr>
                </pic:pic>
              </a:graphicData>
            </a:graphic>
          </wp:inline>
        </w:drawing>
      </w:r>
    </w:p>
    <w:p>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pPr>
        <w:spacing w:after="120"/>
      </w:pPr>
      <w:r>
        <w:t>Editable source: public/diagrams/data-pipeline-flowchart.drawio. SVG export: public/diagrams/data-pipeline-flowchart.svg. PNG export: public/diagrams/data-pipeline-flowchart.png.</w:t>
      </w:r>
    </w:p>
    <w:p w14:paraId="76EA1E62" w14:textId="77777777" w:rsidR="00102E0C" w:rsidRDefault="00000000">
      <w:pPr/>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76EA1E62" w14:textId="77777777" w:rsidR="00102E0C" w:rsidRDefault="00000000">
      <w:pPr/>
      <w:r>
        <w:t>The pipeline intentionally keeps the stored acceleration values as raw counts. Unit conversion to g, magnitude calculation, calibration against the LORD reference sensor, and FFT analysis are performed downstream from exported database/CSV data. The main evidence for this section is the successful HTTP 201 upload path, rows present in accel_batches, dashboard visibility, and exported datasets used in the validation plots.</w:t>
      </w:r>
    </w:p>
    <w:p w14:paraId="0E9C8C4B" w14:textId="77777777" w:rsidR="00102E0C" w:rsidRDefault="00000000">
      <w:pPr>
        <w:pStyle w:val="Heading1"/>
      </w:pPr>
      <w:r>
        <w:t>4. Test Results and Success Criteria</w:t>
      </w:r>
    </w:p>
    <w:p w14:paraId="26BEC1EF" w14:textId="77777777" w:rsidR="00102E0C" w:rsidRDefault="00000000">
      <w:pPr>
        <w:spacing w:after="120" w:before="0"/>
      </w:pPr>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the prototype preserves both time-domain magnitude behavior and frequency-domain content over the tested 30.46 s vibration window.</w:t>
      </w:r>
    </w:p>
    <w:p w14:paraId="7F22B980" w14:textId="77777777" w:rsidR="00102E0C" w:rsidRDefault="00000000">
      <w:pPr>
        <w:pStyle w:val="Heading1"/>
      </w:pPr>
      <w:r>
        <w:t>4.1 Constant-Stream Power and Solar Feasibility</w:t>
      </w:r>
    </w:p>
    <w:p w14:paraId="72334EDF" w14:textId="77777777" w:rsidR="00102E0C" w:rsidRDefault="00000000">
      <w:pPr>
        <w:pStyle w:val="TemplatePlaceholder"/>
      </w:pPr>
      <w:r>
        <w:t>[Use POWER_BUDGET.md. Show daily energy load, external-buffer autonomy, solar harvest margin, and observed battery telemetry. Make the claim that the constant stream is supportable if the budget assumptions hold.]</w:t>
      </w:r>
    </w:p>
    <w:p w14:paraId="3565A617" w14:textId="77777777" w:rsidR="00102E0C" w:rsidRDefault="00000000">
      <w:pPr>
        <w:pStyle w:val="Heading1"/>
      </w:pPr>
      <w:r>
        <w:t>4.2 Accelerometer Viability Test</w:t>
      </w:r>
    </w:p>
    <w:p w14:paraId="17A19B8C" w14:textId="77777777" w:rsidR="00102E0C" w:rsidRDefault="00000000">
      <w:pPr>
        <w:spacing w:after="120" w:before="0"/>
      </w:pPr>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pPr>
        <w:spacing w:after="120" w:before="0"/>
      </w:pPr>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installations or longer environmental exposures.</w:t>
      </w:r>
    </w:p>
    <w:p>
      <w:pPr>
        <w:pStyle w:val="Caption"/>
        <w:spacing w:after="80" w:before="0"/>
      </w:pPr>
      <w:r>
        <w:t>Table 4.1. Summary metrics for the axis-calibrated accelerometer validation.</w:t>
      </w:r>
    </w:p>
    <w:tbl>
      <w:tblPr>
        <w:tblStyle w:val="TableGrid"/>
        <w:tblW w:type="dxa" w:w="9400"/>
        <w:tblLayout w:type="fixed"/>
        <w:tblLook w:firstColumn="1" w:firstRow="1" w:lastColumn="0" w:lastRow="0" w:noHBand="0" w:noVBand="1" w:val="04A0"/>
        <w:jc w:val="left"/>
        <w:tblInd w:w="0" w:type="dxa"/>
      </w:tblPr>
      <w:tblGrid>
        <w:gridCol w:w="2500"/>
        <w:gridCol w:w="3000"/>
        <w:gridCol w:w="3900"/>
      </w:tblGrid>
      <w:tr>
        <w:tc>
          <w:tcPr>
            <w:tcW w:type="dxa" w:w="2500"/>
            <w:tcMar>
              <w:top w:w="70" w:type="dxa"/>
              <w:start w:w="100" w:type="dxa"/>
              <w:bottom w:w="70" w:type="dxa"/>
              <w:end w:w="100" w:type="dxa"/>
            </w:tcMar>
            <w:vAlign w:val="center"/>
            <w:shd w:fill="EAF1F8"/>
          </w:tcPr>
          <w:p>
            <w:pPr>
              <w:spacing w:after="0" w:before="0"/>
            </w:pPr>
            <w:r>
              <w:rPr>
                <w:b/>
                <w:sz w:val="17"/>
              </w:rPr>
              <w:t>Metric</w:t>
            </w:r>
          </w:p>
        </w:tc>
        <w:tc>
          <w:tcPr>
            <w:tcW w:type="dxa" w:w="3000"/>
            <w:tcMar>
              <w:top w:w="70" w:type="dxa"/>
              <w:start w:w="100" w:type="dxa"/>
              <w:bottom w:w="70" w:type="dxa"/>
              <w:end w:w="100" w:type="dxa"/>
            </w:tcMar>
            <w:vAlign w:val="center"/>
            <w:shd w:fill="EAF1F8"/>
          </w:tcPr>
          <w:p>
            <w:pPr>
              <w:spacing w:after="0" w:before="0"/>
            </w:pPr>
            <w:r>
              <w:rPr>
                <w:b/>
                <w:sz w:val="17"/>
              </w:rPr>
              <w:t>Result</w:t>
            </w:r>
          </w:p>
        </w:tc>
        <w:tc>
          <w:tcPr>
            <w:tcW w:type="dxa" w:w="3900"/>
            <w:tcMar>
              <w:top w:w="70" w:type="dxa"/>
              <w:start w:w="100" w:type="dxa"/>
              <w:bottom w:w="70" w:type="dxa"/>
              <w:end w:w="100" w:type="dxa"/>
            </w:tcMar>
            <w:vAlign w:val="center"/>
            <w:shd w:fill="EAF1F8"/>
          </w:tcPr>
          <w:p>
            <w:pPr>
              <w:spacing w:after="0" w:before="0"/>
            </w:pPr>
            <w:r>
              <w:rPr>
                <w:b/>
                <w:sz w:val="17"/>
              </w:rPr>
              <w:t>Interpretation</w:t>
            </w:r>
          </w:p>
        </w:tc>
      </w:tr>
      <w:tr>
        <w:tc>
          <w:tcPr>
            <w:tcW w:type="dxa" w:w="2500"/>
            <w:tcMar>
              <w:top w:w="70" w:type="dxa"/>
              <w:start w:w="100" w:type="dxa"/>
              <w:bottom w:w="70" w:type="dxa"/>
              <w:end w:w="100" w:type="dxa"/>
            </w:tcMar>
            <w:vAlign w:val="center"/>
            <w:shd w:fill="FFFFFF"/>
          </w:tcPr>
          <w:p>
            <w:pPr>
              <w:spacing w:after="0" w:before="0"/>
            </w:pPr>
            <w:r>
              <w:rPr>
                <w:b w:val="0"/>
                <w:sz w:val="16"/>
              </w:rPr>
              <w:t>Validation window and processing</w:t>
            </w:r>
          </w:p>
        </w:tc>
        <w:tc>
          <w:tcPr>
            <w:tcW w:type="dxa" w:w="3000"/>
            <w:tcMar>
              <w:top w:w="70" w:type="dxa"/>
              <w:start w:w="100" w:type="dxa"/>
              <w:bottom w:w="70" w:type="dxa"/>
              <w:end w:w="100" w:type="dxa"/>
            </w:tcMar>
            <w:vAlign w:val="center"/>
            <w:shd w:fill="FFFFFF"/>
          </w:tcPr>
          <w:p>
            <w:pPr>
              <w:spacing w:after="0" w:before="0"/>
            </w:pPr>
            <w:r>
              <w:rPr>
                <w:b w:val="0"/>
                <w:sz w:val="16"/>
              </w:rPr>
              <w:t>3,900 samples; 30.46 s; peak aligned; 3-axis affine calibration</w:t>
            </w:r>
          </w:p>
        </w:tc>
        <w:tc>
          <w:tcPr>
            <w:tcW w:type="dxa" w:w="3900"/>
            <w:tcMar>
              <w:top w:w="70" w:type="dxa"/>
              <w:start w:w="100" w:type="dxa"/>
              <w:bottom w:w="70" w:type="dxa"/>
              <w:end w:w="100" w:type="dxa"/>
            </w:tcMar>
            <w:vAlign w:val="center"/>
            <w:shd w:fill="FFFFFF"/>
          </w:tcPr>
          <w:p>
            <w:pPr>
              <w:spacing w:after="0" w:before="0"/>
            </w:pPr>
            <w:r>
              <w:rPr>
                <w:b w:val="0"/>
                <w:sz w:val="16"/>
              </w:rPr>
              <w:t>Magnitude was computed after mapping raw Thingy axes into the LORD g-frame.</w:t>
            </w:r>
          </w:p>
        </w:tc>
      </w:tr>
      <w:tr>
        <w:tc>
          <w:tcPr>
            <w:tcW w:type="dxa" w:w="2500"/>
            <w:tcMar>
              <w:top w:w="70" w:type="dxa"/>
              <w:start w:w="100" w:type="dxa"/>
              <w:bottom w:w="70" w:type="dxa"/>
              <w:end w:w="100" w:type="dxa"/>
            </w:tcMar>
            <w:vAlign w:val="center"/>
            <w:shd w:fill="FFFFFF"/>
          </w:tcPr>
          <w:p>
            <w:pPr>
              <w:spacing w:after="0" w:before="0"/>
            </w:pPr>
            <w:r>
              <w:rPr>
                <w:b w:val="0"/>
                <w:sz w:val="16"/>
              </w:rPr>
              <w:t>Time-domain magnitude agreement</w:t>
            </w:r>
          </w:p>
        </w:tc>
        <w:tc>
          <w:tcPr>
            <w:tcW w:type="dxa" w:w="3000"/>
            <w:tcMar>
              <w:top w:w="70" w:type="dxa"/>
              <w:start w:w="100" w:type="dxa"/>
              <w:bottom w:w="70" w:type="dxa"/>
              <w:end w:w="100" w:type="dxa"/>
            </w:tcMar>
            <w:vAlign w:val="center"/>
            <w:shd w:fill="FFFFFF"/>
          </w:tcPr>
          <w:p>
            <w:pPr>
              <w:spacing w:after="0" w:before="0"/>
            </w:pPr>
            <w:r>
              <w:rPr>
                <w:b w:val="0"/>
                <w:sz w:val="16"/>
              </w:rPr>
              <w:t>Pearson r = 0.955; RMSE = 0.040 g; bias = -0.0089 g</w:t>
            </w:r>
          </w:p>
        </w:tc>
        <w:tc>
          <w:tcPr>
            <w:tcW w:type="dxa" w:w="3900"/>
            <w:tcMar>
              <w:top w:w="70" w:type="dxa"/>
              <w:start w:w="100" w:type="dxa"/>
              <w:bottom w:w="70" w:type="dxa"/>
              <w:end w:w="100" w:type="dxa"/>
            </w:tcMar>
            <w:vAlign w:val="center"/>
            <w:shd w:fill="FFFFFF"/>
          </w:tcPr>
          <w:p>
            <w:pPr>
              <w:spacing w:after="0" w:before="0"/>
            </w:pPr>
            <w:r>
              <w:rPr>
                <w:b w:val="0"/>
                <w:sz w:val="16"/>
              </w:rPr>
              <w:t>Calibrated Thingy magnitude closely follows the LORD reference trace.</w:t>
            </w:r>
          </w:p>
        </w:tc>
      </w:tr>
      <w:tr>
        <w:tc>
          <w:tcPr>
            <w:tcW w:type="dxa" w:w="2500"/>
            <w:tcMar>
              <w:top w:w="70" w:type="dxa"/>
              <w:start w:w="100" w:type="dxa"/>
              <w:bottom w:w="70" w:type="dxa"/>
              <w:end w:w="100" w:type="dxa"/>
            </w:tcMar>
            <w:vAlign w:val="center"/>
            <w:shd w:fill="FFFFFF"/>
          </w:tcPr>
          <w:p>
            <w:pPr>
              <w:spacing w:after="0" w:before="0"/>
            </w:pPr>
            <w:r>
              <w:rPr>
                <w:b w:val="0"/>
                <w:sz w:val="16"/>
              </w:rPr>
              <w:t>Normalized magnitude error</w:t>
            </w:r>
          </w:p>
        </w:tc>
        <w:tc>
          <w:tcPr>
            <w:tcW w:type="dxa" w:w="3000"/>
            <w:tcMar>
              <w:top w:w="70" w:type="dxa"/>
              <w:start w:w="100" w:type="dxa"/>
              <w:bottom w:w="70" w:type="dxa"/>
              <w:end w:w="100" w:type="dxa"/>
            </w:tcMar>
            <w:vAlign w:val="center"/>
            <w:shd w:fill="FFFFFF"/>
          </w:tcPr>
          <w:p>
            <w:pPr>
              <w:spacing w:after="0" w:before="0"/>
            </w:pPr>
            <w:r>
              <w:rPr>
                <w:b w:val="0"/>
                <w:sz w:val="16"/>
              </w:rPr>
              <w:t>3.8% of LORD RMS</w:t>
            </w:r>
          </w:p>
        </w:tc>
        <w:tc>
          <w:tcPr>
            <w:tcW w:type="dxa" w:w="3900"/>
            <w:tcMar>
              <w:top w:w="70" w:type="dxa"/>
              <w:start w:w="100" w:type="dxa"/>
              <w:bottom w:w="70" w:type="dxa"/>
              <w:end w:w="100" w:type="dxa"/>
            </w:tcMar>
            <w:vAlign w:val="center"/>
            <w:shd w:fill="FFFFFF"/>
          </w:tcPr>
          <w:p>
            <w:pPr>
              <w:spacing w:after="0" w:before="0"/>
            </w:pPr>
            <w:r>
              <w:rPr>
                <w:b w:val="0"/>
                <w:sz w:val="16"/>
              </w:rPr>
              <w:t>Error is small relative to the observed reference response.</w:t>
            </w:r>
          </w:p>
        </w:tc>
      </w:tr>
      <w:tr>
        <w:tc>
          <w:tcPr>
            <w:tcW w:type="dxa" w:w="2500"/>
            <w:tcMar>
              <w:top w:w="70" w:type="dxa"/>
              <w:start w:w="100" w:type="dxa"/>
              <w:bottom w:w="70" w:type="dxa"/>
              <w:end w:w="100" w:type="dxa"/>
            </w:tcMar>
            <w:vAlign w:val="center"/>
            <w:shd w:fill="FFFFFF"/>
          </w:tcPr>
          <w:p>
            <w:pPr>
              <w:spacing w:after="0" w:before="0"/>
            </w:pPr>
            <w:r>
              <w:rPr>
                <w:b w:val="0"/>
                <w:sz w:val="16"/>
              </w:rPr>
              <w:t>Frequency-domain agreement</w:t>
            </w:r>
          </w:p>
        </w:tc>
        <w:tc>
          <w:tcPr>
            <w:tcW w:type="dxa" w:w="3000"/>
            <w:tcMar>
              <w:top w:w="70" w:type="dxa"/>
              <w:start w:w="100" w:type="dxa"/>
              <w:bottom w:w="70" w:type="dxa"/>
              <w:end w:w="100" w:type="dxa"/>
            </w:tcMar>
            <w:vAlign w:val="center"/>
            <w:shd w:fill="FFFFFF"/>
          </w:tcPr>
          <w:p>
            <w:pPr>
              <w:spacing w:after="0" w:before="0"/>
            </w:pPr>
            <w:r>
              <w:rPr>
                <w:b w:val="0"/>
                <w:sz w:val="16"/>
              </w:rPr>
              <w:t>Pearson r = 0.952; RMSE = 0.00258 g over 0-12.5 Hz</w:t>
            </w:r>
          </w:p>
        </w:tc>
        <w:tc>
          <w:tcPr>
            <w:tcW w:type="dxa" w:w="3900"/>
            <w:tcMar>
              <w:top w:w="70" w:type="dxa"/>
              <w:start w:w="100" w:type="dxa"/>
              <w:bottom w:w="70" w:type="dxa"/>
              <w:end w:w="100" w:type="dxa"/>
            </w:tcMar>
            <w:vAlign w:val="center"/>
            <w:shd w:fill="FFFFFF"/>
          </w:tcPr>
          <w:p>
            <w:pPr>
              <w:spacing w:after="0" w:before="0"/>
            </w:pPr>
            <w:r>
              <w:rPr>
                <w:b w:val="0"/>
                <w:sz w:val="16"/>
              </w:rPr>
              <w:t>Primary spectral content is retained below the Thingy 25 Hz Nyquist limit.</w:t>
            </w:r>
          </w:p>
        </w:tc>
      </w:tr>
    </w:tbl>
    <w:p>
      <w:pPr>
        <w:spacing w:after="40"/>
      </w:pPr>
    </w:p>
    <w:p>
      <w:pPr>
        <w:spacing w:after="60" w:before="0"/>
        <w:jc w:val="center"/>
      </w:pPr>
      <w:r>
        <w:drawing>
          <wp:inline xmlns:a="http://schemas.openxmlformats.org/drawingml/2006/main" xmlns:pic="http://schemas.openxmlformats.org/drawingml/2006/picture">
            <wp:extent cx="5715000" cy="3940388"/>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7"/>
                    <a:stretch>
                      <a:fillRect/>
                    </a:stretch>
                  </pic:blipFill>
                  <pic:spPr>
                    <a:xfrm>
                      <a:off x="0" y="0"/>
                      <a:ext cx="5715000" cy="3940388"/>
                    </a:xfrm>
                    <a:prstGeom prst="rect"/>
                  </pic:spPr>
                </pic:pic>
              </a:graphicData>
            </a:graphic>
          </wp:inline>
        </w:drawing>
      </w:r>
    </w:p>
    <w:p>
      <w:pPr>
        <w:pStyle w:val="Caption"/>
        <w:spacing w:after="160"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14:paraId="2DD8FF82" w14:textId="77777777" w:rsidR="00102E0C" w:rsidRDefault="00000000">
      <w:pPr>
        <w:pStyle w:val="Heading1"/>
      </w:pPr>
      <w:r>
        <w:t>4.3 FFT Viability Test</w:t>
      </w:r>
    </w:p>
    <w:p w14:paraId="78CEFA29" w14:textId="77777777" w:rsidR="00102E0C" w:rsidRDefault="00000000">
      <w:pPr>
        <w:spacing w:after="120" w:before="0"/>
      </w:pPr>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pPr>
        <w:spacing w:after="120" w:before="0"/>
      </w:pPr>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pPr>
        <w:spacing w:after="60" w:before="0"/>
        <w:jc w:val="center"/>
      </w:pPr>
      <w:r>
        <w:drawing>
          <wp:inline xmlns:a="http://schemas.openxmlformats.org/drawingml/2006/main" xmlns:pic="http://schemas.openxmlformats.org/drawingml/2006/picture">
            <wp:extent cx="5715000" cy="2821511"/>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8"/>
                    <a:stretch>
                      <a:fillRect/>
                    </a:stretch>
                  </pic:blipFill>
                  <pic:spPr>
                    <a:xfrm>
                      <a:off x="0" y="0"/>
                      <a:ext cx="5715000" cy="2821511"/>
                    </a:xfrm>
                    <a:prstGeom prst="rect"/>
                  </pic:spPr>
                </pic:pic>
              </a:graphicData>
            </a:graphic>
          </wp:inline>
        </w:drawing>
      </w:r>
    </w:p>
    <w:p>
      <w:pPr>
        <w:pStyle w:val="Caption"/>
        <w:spacing w:after="160" w:before="0"/>
      </w:pPr>
      <w:r>
        <w:t>Figure 4.2. Frequency-domain validation of the calibrated magnitude signals. Mean-removed magnitudes were windowed with a Hann window before FFT comparison over 0-12.5 Hz.</w:t>
      </w:r>
    </w:p>
    <w:p w14:paraId="375FF23A" w14:textId="77777777" w:rsidR="00102E0C" w:rsidRDefault="00000000">
      <w:pPr>
        <w:pStyle w:val="Heading1"/>
      </w:pPr>
      <w:r>
        <w:t>4.4 Tilt Extraction Material</w:t>
      </w:r>
    </w:p>
    <w:p w14:paraId="76DC7428" w14:textId="77777777" w:rsidR="00102E0C" w:rsidRDefault="00000000">
      <w:pPr>
        <w:pStyle w:val="TemplatePlaceholder"/>
      </w:pPr>
      <w:r>
        <w:t>[If retained, explain install-time gravity reference, differential tilt angle, and two-axis decomposition. Keep it as methods or appendix material unless there are results.]</w:t>
      </w:r>
    </w:p>
    <w:p w14:paraId="0261219D" w14:textId="77777777" w:rsidR="00102E0C" w:rsidRDefault="00000000">
      <w:pPr>
        <w:pStyle w:val="Heading1"/>
      </w:pPr>
      <w:r>
        <w:t>4.5 End-to-End Pipeline Evidence</w:t>
      </w:r>
    </w:p>
    <w:p w14:paraId="635339E8" w14:textId="77777777" w:rsidR="00102E0C" w:rsidRDefault="00000000">
      <w:pPr>
        <w:pStyle w:val="TemplatePlaceholder"/>
      </w:pPr>
      <w:r>
        <w:t>[Show firmware POST success, Supabase insertion, dashboard visibility, and exported analysis data.]</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6D811889" w14:textId="77777777">
        <w:tc>
          <w:tcPr>
            <w:tcW w:w="2100" w:type="dxa"/>
            <w:shd w:val="clear" w:color="auto" w:fill="EDEDED"/>
            <w:tcMar>
              <w:top w:w="40" w:type="dxa"/>
              <w:left w:w="60" w:type="dxa"/>
              <w:bottom w:w="40" w:type="dxa"/>
              <w:right w:w="60" w:type="dxa"/>
            </w:tcMar>
            <w:vAlign w:val="center"/>
          </w:tcPr>
          <w:p w14:paraId="0AE16A21"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04B12D3D"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1C2127F2"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F063DE4" w14:textId="77777777" w:rsidR="00102E0C" w:rsidRDefault="00000000">
            <w:pPr>
              <w:spacing w:after="0" w:line="240" w:lineRule="auto"/>
            </w:pPr>
            <w:r>
              <w:rPr>
                <w:b/>
                <w:sz w:val="17"/>
              </w:rPr>
              <w:t>Status</w:t>
            </w:r>
          </w:p>
        </w:tc>
      </w:tr>
      <w:tr w:rsidR="00102E0C" w14:paraId="50111CC5" w14:textId="77777777">
        <w:tc>
          <w:tcPr>
            <w:tcW w:w="2100" w:type="dxa"/>
            <w:tcMar>
              <w:top w:w="40" w:type="dxa"/>
              <w:left w:w="60" w:type="dxa"/>
              <w:bottom w:w="40" w:type="dxa"/>
              <w:right w:w="60" w:type="dxa"/>
            </w:tcMar>
            <w:vAlign w:val="center"/>
          </w:tcPr>
          <w:p w14:paraId="0C972F44" w14:textId="77777777" w:rsidR="00102E0C" w:rsidRDefault="00000000">
            <w:pPr>
              <w:spacing w:after="0" w:line="240" w:lineRule="auto"/>
            </w:pPr>
            <w:r>
              <w:rPr>
                <w:sz w:val="17"/>
              </w:rPr>
              <w:lastRenderedPageBreak/>
              <w:t>Constant stream power</w:t>
            </w:r>
          </w:p>
        </w:tc>
        <w:tc>
          <w:tcPr>
            <w:tcW w:w="2500" w:type="dxa"/>
            <w:tcMar>
              <w:top w:w="40" w:type="dxa"/>
              <w:left w:w="60" w:type="dxa"/>
              <w:bottom w:w="40" w:type="dxa"/>
              <w:right w:w="60" w:type="dxa"/>
            </w:tcMar>
            <w:vAlign w:val="center"/>
          </w:tcPr>
          <w:p w14:paraId="1EFD01F9"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6B415EC2" w14:textId="77777777" w:rsidR="00102E0C" w:rsidRDefault="00000000">
            <w:pPr>
              <w:spacing w:after="0" w:line="240" w:lineRule="auto"/>
            </w:pPr>
            <w:r>
              <w:rPr>
                <w:sz w:val="17"/>
              </w:rPr>
              <w:t>[Power budget + solar margin + telemetry]</w:t>
            </w:r>
          </w:p>
        </w:tc>
        <w:tc>
          <w:tcPr>
            <w:tcW w:w="1660" w:type="dxa"/>
            <w:tcMar>
              <w:top w:w="40" w:type="dxa"/>
              <w:left w:w="60" w:type="dxa"/>
              <w:bottom w:w="40" w:type="dxa"/>
              <w:right w:w="60" w:type="dxa"/>
            </w:tcMar>
            <w:vAlign w:val="center"/>
          </w:tcPr>
          <w:p w14:paraId="45DD263F" w14:textId="77777777" w:rsidR="00102E0C" w:rsidRDefault="00000000">
            <w:r>
              <w:t>[Status]</w:t>
            </w:r>
          </w:p>
        </w:tc>
      </w:tr>
      <w:tr w:rsidR="00102E0C" w14:paraId="59568E26" w14:textId="77777777">
        <w:tc>
          <w:tcPr>
            <w:tcW w:w="2100" w:type="dxa"/>
            <w:tcMar>
              <w:top w:w="40" w:type="dxa"/>
              <w:left w:w="60" w:type="dxa"/>
              <w:bottom w:w="40" w:type="dxa"/>
              <w:right w:w="60" w:type="dxa"/>
            </w:tcMar>
            <w:vAlign w:val="center"/>
          </w:tcPr>
          <w:p w14:paraId="3B89A242"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A229F03"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0D3AF230" w14:textId="77777777" w:rsidR="00102E0C" w:rsidRDefault="00000000">
            <w:pPr>
              <w:spacing w:after="0" w:line="240" w:lineRule="auto"/>
            </w:pPr>
            <w:r>
              <w:rPr>
                <w:sz w:val="17"/>
              </w:rPr>
              <w:t>[Time-domain metrics]</w:t>
            </w:r>
          </w:p>
        </w:tc>
        <w:tc>
          <w:tcPr>
            <w:tcW w:w="1660" w:type="dxa"/>
            <w:tcMar>
              <w:top w:w="40" w:type="dxa"/>
              <w:left w:w="60" w:type="dxa"/>
              <w:bottom w:w="40" w:type="dxa"/>
              <w:right w:w="60" w:type="dxa"/>
            </w:tcMar>
            <w:vAlign w:val="center"/>
          </w:tcPr>
          <w:p w14:paraId="2969C27A" w14:textId="77777777" w:rsidR="00102E0C" w:rsidRDefault="00000000">
            <w:r>
              <w:t>[Status]</w:t>
            </w:r>
          </w:p>
        </w:tc>
      </w:tr>
      <w:tr w:rsidR="00102E0C" w14:paraId="5763C375" w14:textId="77777777">
        <w:tc>
          <w:tcPr>
            <w:tcW w:w="2100" w:type="dxa"/>
            <w:tcMar>
              <w:top w:w="40" w:type="dxa"/>
              <w:left w:w="60" w:type="dxa"/>
              <w:bottom w:w="40" w:type="dxa"/>
              <w:right w:w="60" w:type="dxa"/>
            </w:tcMar>
            <w:vAlign w:val="center"/>
          </w:tcPr>
          <w:p w14:paraId="68981AC0"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E471483"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77EABA7B" w14:textId="77777777" w:rsidR="00102E0C" w:rsidRDefault="00000000">
            <w:pPr>
              <w:spacing w:after="0" w:line="240" w:lineRule="auto"/>
            </w:pPr>
            <w:r>
              <w:rPr>
                <w:sz w:val="17"/>
              </w:rPr>
              <w:t>[FFT comparison]</w:t>
            </w:r>
          </w:p>
        </w:tc>
        <w:tc>
          <w:tcPr>
            <w:tcW w:w="1660" w:type="dxa"/>
            <w:tcMar>
              <w:top w:w="40" w:type="dxa"/>
              <w:left w:w="60" w:type="dxa"/>
              <w:bottom w:w="40" w:type="dxa"/>
              <w:right w:w="60" w:type="dxa"/>
            </w:tcMar>
            <w:vAlign w:val="center"/>
          </w:tcPr>
          <w:p w14:paraId="0300F92C" w14:textId="77777777" w:rsidR="00102E0C" w:rsidRDefault="00000000">
            <w:r>
              <w:t>[Status]</w:t>
            </w:r>
          </w:p>
        </w:tc>
      </w:tr>
      <w:tr w:rsidR="00102E0C" w14:paraId="10BE6CC2" w14:textId="77777777">
        <w:tc>
          <w:tcPr>
            <w:tcW w:w="2100" w:type="dxa"/>
            <w:tcMar>
              <w:top w:w="40" w:type="dxa"/>
              <w:left w:w="60" w:type="dxa"/>
              <w:bottom w:w="40" w:type="dxa"/>
              <w:right w:w="60" w:type="dxa"/>
            </w:tcMar>
            <w:vAlign w:val="center"/>
          </w:tcPr>
          <w:p w14:paraId="294E3B5F"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39486A27"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2A1D2E50" w14:textId="77777777" w:rsidR="00102E0C" w:rsidRDefault="00000000">
            <w:pPr>
              <w:spacing w:after="0" w:line="240" w:lineRule="auto"/>
            </w:pPr>
            <w:r>
              <w:rPr>
                <w:sz w:val="17"/>
              </w:rPr>
              <w:t>[HTTP 201, DB/dashboard evidence]</w:t>
            </w:r>
          </w:p>
        </w:tc>
        <w:tc>
          <w:tcPr>
            <w:tcW w:w="1660" w:type="dxa"/>
            <w:tcMar>
              <w:top w:w="40" w:type="dxa"/>
              <w:left w:w="60" w:type="dxa"/>
              <w:bottom w:w="40" w:type="dxa"/>
              <w:right w:w="60" w:type="dxa"/>
            </w:tcMar>
            <w:vAlign w:val="center"/>
          </w:tcPr>
          <w:p w14:paraId="3C868C3A" w14:textId="77777777" w:rsidR="00102E0C" w:rsidRDefault="00000000">
            <w:r>
              <w:t>[Status]</w:t>
            </w:r>
          </w:p>
        </w:tc>
      </w:tr>
    </w:tbl>
    <w:p w14:paraId="745F003A" w14:textId="77777777" w:rsidR="00102E0C" w:rsidRDefault="00000000">
      <w:pPr>
        <w:pStyle w:val="Heading1"/>
      </w:pPr>
      <w:r>
        <w:t>5. Discussion</w:t>
      </w:r>
    </w:p>
    <w:p w14:paraId="7B98A249" w14:textId="77777777" w:rsidR="00102E0C" w:rsidRDefault="00000000">
      <w:pPr>
        <w:pStyle w:val="TemplatePlaceholder"/>
      </w:pPr>
      <w:r>
        <w:t>[Interpret what the results prove and what they do not prove. Separate prototype feasibility from full deployment readiness.]</w:t>
      </w:r>
    </w:p>
    <w:p w14:paraId="2996B60B" w14:textId="77777777" w:rsidR="00102E0C" w:rsidRDefault="00000000">
      <w:pPr>
        <w:pStyle w:val="Heading2"/>
      </w:pPr>
      <w:r>
        <w:t>5.1 Limitations</w:t>
      </w:r>
    </w:p>
    <w:p w14:paraId="15D290A7" w14:textId="77777777" w:rsidR="00102E0C" w:rsidRDefault="00000000">
      <w:pPr>
        <w:pStyle w:val="TemplatePlaceholder"/>
      </w:pPr>
      <w:r>
        <w:t>[Short validation window, mounting uncertainty, LTE/solar variability, external-buffer SOC not directly telemetered, and any sensor-axis caveats.]</w:t>
      </w:r>
    </w:p>
    <w:p w14:paraId="4A04032D" w14:textId="77777777" w:rsidR="00102E0C" w:rsidRDefault="00000000">
      <w:pPr>
        <w:pStyle w:val="Heading2"/>
      </w:pPr>
      <w:r>
        <w:t>5.2 Future Work</w:t>
      </w:r>
    </w:p>
    <w:p w14:paraId="16FAAB25" w14:textId="77777777" w:rsidR="00102E0C" w:rsidRDefault="00000000">
      <w:pPr>
        <w:pStyle w:val="TemplatePlaceholder"/>
      </w:pPr>
      <w:r>
        <w:t>[Longer unattended field run, enclosure/mount refinement, outdoor weather validation, and optional watchdog confirmation if enabled.]</w:t>
      </w:r>
    </w:p>
    <w:p w14:paraId="29845D18" w14:textId="77777777" w:rsidR="00102E0C" w:rsidRDefault="00000000">
      <w:pPr>
        <w:pStyle w:val="Heading1"/>
      </w:pPr>
      <w:r>
        <w:t>6. Conclusion</w:t>
      </w:r>
    </w:p>
    <w:p w14:paraId="55F43377" w14:textId="77777777" w:rsidR="00102E0C" w:rsidRDefault="00000000">
      <w:pPr>
        <w:pStyle w:val="TemplatePlaceholder"/>
      </w:pPr>
      <w:r>
        <w:t>[One direct feasibility judgment. Do not introduce new evidence here.]</w:t>
      </w:r>
    </w:p>
    <w:p w14:paraId="14673C97" w14:textId="77777777" w:rsidR="00102E0C" w:rsidRDefault="00000000">
      <w:pPr>
        <w:pStyle w:val="Heading1"/>
      </w:pPr>
      <w:r>
        <w:t>References</w:t>
      </w:r>
    </w:p>
    <w:p w14:paraId="578C36F5" w14:textId="77777777" w:rsidR="00102E0C" w:rsidRDefault="00000000">
      <w:pPr>
        <w:pStyle w:val="TemplatePlaceholder"/>
      </w:pPr>
      <w:r>
        <w:t>[Add datasheets, Nordic Thingy:91 X documentation, ADXL367 datasheet, BQ24074/S7V8F5 docs, LORD/SensorConnect references, and any SHM background citations.]</w:t>
      </w:r>
    </w:p>
    <w:p w14:paraId="3925477F" w14:textId="77777777" w:rsidR="00102E0C" w:rsidRDefault="00000000">
      <w:pPr>
        <w:pStyle w:val="Heading1"/>
      </w:pPr>
      <w:r>
        <w:t>Appendix A. Hardware Specification</w:t>
      </w:r>
    </w:p>
    <w:p w14:paraId="66349B97" w14:textId="77777777" w:rsidR="00102E0C" w:rsidRDefault="00000000">
      <w:pPr>
        <w:pStyle w:val="TemplatePlaceholder"/>
      </w:pPr>
      <w:r>
        <w:t>[Paste or cite HARDWARE_SPEC.md and BOM.md.]</w:t>
      </w:r>
    </w:p>
    <w:p w14:paraId="0B41E280" w14:textId="77777777" w:rsidR="00102E0C" w:rsidRDefault="00000000">
      <w:pPr>
        <w:pStyle w:val="Heading1"/>
      </w:pPr>
      <w:r>
        <w:t>Appendix B. Firmware and Cloud Configuration</w:t>
      </w:r>
    </w:p>
    <w:p w14:paraId="799AF887" w14:textId="77777777" w:rsidR="00102E0C" w:rsidRDefault="00000000">
      <w:pPr>
        <w:pStyle w:val="TemplatePlaceholder"/>
      </w:pPr>
      <w:r>
        <w:t>[Paste or cite FIRMWARE.md, ARCHITECTURE.md, schema, and endpoint notes.]</w:t>
      </w:r>
    </w:p>
    <w:p w14:paraId="493D3D71" w14:textId="77777777" w:rsidR="00102E0C" w:rsidRDefault="00000000">
      <w:pPr>
        <w:pStyle w:val="Heading1"/>
      </w:pPr>
      <w:r>
        <w:t>Appendix C. Data Processing and Additional Plots</w:t>
      </w:r>
    </w:p>
    <w:p w14:paraId="4D6AEF31" w14:textId="77777777" w:rsidR="00102E0C" w:rsidRDefault="00000000">
      <w:pPr>
        <w:pStyle w:val="TemplatePlaceholder"/>
      </w:pPr>
      <w:r>
        <w:t>[Include SensorConnect exports, calibration scripts, FFT plots, tilt derivation, and raw/processed metrics.]</w:t>
      </w:r>
    </w:p>
    <w:sectPr w:rsidR="00102E0C" w:rsidSect="00034616">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CC38" w14:textId="77777777" w:rsidR="001D1721" w:rsidRDefault="001D1721">
      <w:pPr>
        <w:spacing w:after="0" w:line="240" w:lineRule="auto"/>
      </w:pPr>
      <w:r>
        <w:separator/>
      </w:r>
    </w:p>
  </w:endnote>
  <w:endnote w:type="continuationSeparator" w:id="0">
    <w:p w14:paraId="78129510" w14:textId="77777777" w:rsidR="001D1721" w:rsidRDefault="001D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EF6C"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F44E"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9339F" w14:textId="77777777" w:rsidR="001D1721" w:rsidRDefault="001D1721">
      <w:pPr>
        <w:spacing w:after="0" w:line="240" w:lineRule="auto"/>
      </w:pPr>
      <w:r>
        <w:separator/>
      </w:r>
    </w:p>
  </w:footnote>
  <w:footnote w:type="continuationSeparator" w:id="0">
    <w:p w14:paraId="0DBB2B2D" w14:textId="77777777" w:rsidR="001D1721" w:rsidRDefault="001D1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8369"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4AFF"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326F90"/>
    <w:rsid w:val="00331AE1"/>
    <w:rsid w:val="003D4DE7"/>
    <w:rsid w:val="00495630"/>
    <w:rsid w:val="00572F36"/>
    <w:rsid w:val="006039B7"/>
    <w:rsid w:val="00651F4B"/>
    <w:rsid w:val="00736F22"/>
    <w:rsid w:val="007F61C4"/>
    <w:rsid w:val="009A6991"/>
    <w:rsid w:val="00AA1D8D"/>
    <w:rsid w:val="00B47730"/>
    <w:rsid w:val="00BB26A0"/>
    <w:rsid w:val="00CB0664"/>
    <w:rsid w:val="00E23B7A"/>
    <w:rsid w:val="00ED4E06"/>
    <w:rsid w:val="00F42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2BB0C"/>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1820</Words>
  <Characters>11760</Characters>
  <Application>Microsoft Office Word</Application>
  <DocSecurity>0</DocSecurity>
  <Lines>213</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10</cp:revision>
  <dcterms:created xsi:type="dcterms:W3CDTF">2013-12-23T23:15:00Z</dcterms:created>
  <dcterms:modified xsi:type="dcterms:W3CDTF">2026-05-12T03:50:00Z</dcterms:modified>
  <cp:category/>
</cp:coreProperties>
</file>