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B70DA" w14:textId="77777777" w:rsidR="00102E0C" w:rsidRDefault="00000000" w:rsidP="00331AE1">
      <w:pPr>
        <w:pStyle w:val="Title"/>
        <w:jc w:val="center"/>
      </w:pPr>
      <w:r>
        <w:t>Low-Cost Cellular Accelerometer Node for Structural Health Monitoring</w:t>
      </w:r>
    </w:p>
    <w:p w14:paraId="53952D17" w14:textId="77777777" w:rsidR="00102E0C" w:rsidRDefault="00000000">
      <w:pPr>
        <w:jc w:val="center"/>
      </w:pPr>
      <w:r>
        <w:t>Gabe Kafka-Gibbons</w:t>
      </w:r>
    </w:p>
    <w:p w14:paraId="1CEFB9A7" w14:textId="77777777" w:rsidR="00102E0C" w:rsidRDefault="00000000">
      <w:pPr>
        <w:jc w:val="center"/>
      </w:pPr>
      <w:r>
        <w:t>NYU Tandon School of Engineering</w:t>
      </w:r>
    </w:p>
    <w:p w14:paraId="33B1FD88" w14:textId="77777777" w:rsidR="00102E0C" w:rsidRDefault="00000000">
      <w:pPr>
        <w:jc w:val="center"/>
      </w:pPr>
      <w:r>
        <w:t>Advisor: Masoud Ghandehari</w:t>
      </w:r>
    </w:p>
    <w:p w14:paraId="4E581748" w14:textId="77777777" w:rsidR="00102E0C" w:rsidRDefault="00000000">
      <w:pPr>
        <w:jc w:val="center"/>
      </w:pPr>
      <w:r>
        <w:t>Project context: Puerto Rico transmission tower structural health monitoring</w:t>
      </w:r>
    </w:p>
    <w:p w14:paraId="24820CEF" w14:textId="77777777" w:rsidR="00102E0C" w:rsidRDefault="00000000">
      <w:pPr>
        <w:jc w:val="center"/>
      </w:pPr>
      <w:r>
        <w:t>Final report due: May 15, 2026</w:t>
      </w:r>
    </w:p>
    <w:p w14:paraId="2C36F641" w14:textId="77777777" w:rsidR="00102E0C" w:rsidRDefault="00000000">
      <w:pPr>
        <w:spacing w:before="720"/>
        <w:jc w:val="center"/>
      </w:pPr>
      <w:r>
        <w:rPr>
          <w:b/>
        </w:rPr>
        <w:t>Working thesis</w:t>
      </w:r>
    </w:p>
    <w:p w14:paraId="5391F5C0" w14:textId="77777777" w:rsidR="00102E0C" w:rsidRDefault="00E23B7A">
      <w:pPr>
        <w:jc w:val="center"/>
      </w:pPr>
      <w:r>
        <w:t>The prototype demonstrates continuous acceleration sensing, LTE-M cloud upload, and reference-sensor agreement; the power analysis supports a solar-assisted duty-cycled field design, while the current continuous-post firmware defines the next power-optimization step before extended deployment.</w:t>
      </w:r>
    </w:p>
    <w:p w14:paraId="218DB44C" w14:textId="77777777" w:rsidR="007F61C4" w:rsidRDefault="007F61C4">
      <w:pPr>
        <w:pStyle w:val="TemplatePlaceholder"/>
        <w:jc w:val="center"/>
      </w:pPr>
    </w:p>
    <w:p w14:paraId="544A9084" w14:textId="77777777" w:rsidR="00102E0C" w:rsidRDefault="00000000">
      <w:r>
        <w:br w:type="page"/>
      </w:r>
    </w:p>
    <w:p w14:paraId="4B96E7AD" w14:textId="77777777" w:rsidR="00102E0C" w:rsidRDefault="00000000">
      <w:pPr>
        <w:pStyle w:val="Heading1"/>
      </w:pPr>
      <w:r>
        <w:lastRenderedPageBreak/>
        <w:t>Abstract</w:t>
      </w:r>
    </w:p>
    <w:p w14:paraId="7742BBE0" w14:textId="77777777" w:rsidR="00102E0C" w:rsidRDefault="00000000">
      <w:r>
        <w:t xml:space="preserve">Transmission towers </w:t>
      </w:r>
      <w:r w:rsidR="00F42FF3">
        <w:t xml:space="preserve">in Puerto Rico </w:t>
      </w:r>
      <w:r>
        <w:t xml:space="preserve">are exposed to wind, corrosion, fatigue, and </w:t>
      </w:r>
      <w:r w:rsidR="00F42FF3">
        <w:t xml:space="preserve">notably </w:t>
      </w:r>
      <w:r>
        <w:t xml:space="preserve">hurricane loading, but post-event assessment </w:t>
      </w:r>
      <w:r w:rsidR="00F42FF3">
        <w:t xml:space="preserve">is </w:t>
      </w:r>
      <w:r>
        <w:t xml:space="preserve">often </w:t>
      </w:r>
      <w:r w:rsidR="00F42FF3">
        <w:t xml:space="preserve">limited to </w:t>
      </w:r>
      <w:r>
        <w:t>visual inspection rather than continuous measurement. This report presents a low-cost cellular accelerometer node for prototype structural health monitoring using the Nordic Thingy:91 X platform, its onboard ADXL367 accelerometer, LTE-M connectivity, and a Supabase/PostgREST cloud data path. The system samples triaxial acceleration as a continuous FIFO stream, packages readings into 100-sample batches, reports battery telemetry, and posts data over HTTPS to a cloud database and dashboard. A solar-assisted power architecture using a 2 W panel, BQ24074 charger/load-share, external 10 Ah LiPo buffer, and S7V8F5 regulated 5.0 V USB-C supply is specified to support unattended operation while keeping the Thingy:91 X hardware unmodified. Sensor viability was evaluated by benchmarking the Thingy accelerometer against a LORD S-200 reference sensor under the same excitation. Magnitude-based comparison reduced sensitivity to axis misalignment, while temporal alignment and calibration improved agreement between the prototype and reference signals. In the current validation dataset, raw magnitude correlation was approximately 0.939, calibrated magnitude correlation was approximately 0.955, magnitude RMSE was approximately 0.040 g, and FFT amplitude correlation was approximately 0.952 over 0 to 12.5 Hz. These results support the feasibility of using the integrated ADXL367 for prototype-level vibration monitoring and demonstrate an end-to-end sensor-to-cloud pipeline. The principal remaining limitations are the short validation window, mounting and axis-alignment uncertainty, external-buffer state-of-charge telemetry, and the need for longer unattended field testing under realistic solar and LTE conditions.</w:t>
      </w:r>
    </w:p>
    <w:p w14:paraId="562E6D05" w14:textId="77777777" w:rsidR="00102E0C" w:rsidRDefault="00000000">
      <w:pPr>
        <w:pStyle w:val="Heading2"/>
      </w:pPr>
      <w:r>
        <w:t>Keywords</w:t>
      </w:r>
    </w:p>
    <w:p w14:paraId="4E194131" w14:textId="77777777" w:rsidR="00102E0C" w:rsidRDefault="00000000">
      <w:r>
        <w:t>structural health monitoring; transmission towers; wireless sensing; cellular IoT; LTE-M; triaxial accelerometer; ADXL367; Nordic Thingy:91 X; solar-assisted power; Supabase; reference-sensor validation; FFT analysis</w:t>
      </w:r>
    </w:p>
    <w:p w14:paraId="39E6CF9D" w14:textId="77777777" w:rsidR="00102E0C" w:rsidRDefault="00000000">
      <w:pPr>
        <w:pStyle w:val="Heading1"/>
      </w:pPr>
      <w:r>
        <w:t>Table of Contents</w:t>
      </w:r>
    </w:p>
    <w:p w14:paraId="66B79991" w14:textId="77777777" w:rsidR="00102E0C" w:rsidRDefault="00000000">
      <w:r>
        <w:fldChar w:fldCharType="begin"/>
      </w:r>
      <w:r>
        <w:instrText>TOC \o "1-3" \h \z \u</w:instrText>
      </w:r>
      <w:r>
        <w:fldChar w:fldCharType="separate"/>
      </w:r>
      <w:r>
        <w:t>Right-click and update field after editing.</w:t>
      </w:r>
      <w:r>
        <w:fldChar w:fldCharType="end"/>
      </w:r>
    </w:p>
    <w:p w14:paraId="2C8B4038" w14:textId="77777777" w:rsidR="00102E0C" w:rsidRDefault="00000000">
      <w:r>
        <w:br w:type="page"/>
      </w:r>
    </w:p>
    <w:p w14:paraId="752B7770" w14:textId="77777777" w:rsidR="00102E0C" w:rsidRDefault="00000000">
      <w:pPr>
        <w:pStyle w:val="Heading1"/>
      </w:pPr>
      <w:r>
        <w:lastRenderedPageBreak/>
        <w:t>1. Broader Objective</w:t>
      </w:r>
    </w:p>
    <w:p w14:paraId="1F91EE63" w14:textId="77777777" w:rsidR="00102E0C" w:rsidRDefault="00000000">
      <w:pPr>
        <w:pStyle w:val="Heading2"/>
      </w:pPr>
      <w:r>
        <w:t>1.1 Engineering Context</w:t>
      </w:r>
    </w:p>
    <w:p w14:paraId="3C73189E" w14:textId="77777777" w:rsidR="00102E0C" w:rsidRDefault="00000000">
      <w:r>
        <w:t>Electric transmission towers are distributed assets that must remain functional under wind, rain, corrosion, fatigue, and extreme storm loading. In Puerto Rico, this problem is especially important because transmission infrastructure is exposed to hurricane-season hazards, salt-laden coastal air, difficult access conditions, and long recovery timelines after major weather events. Traditional inspection is often periodic or event-driven, so damage that changes the structural behavior of a tower may not be detected until a visual inspection is performed or a service problem appears.</w:t>
      </w:r>
    </w:p>
    <w:p w14:paraId="26843845" w14:textId="77777777" w:rsidR="003D4DE7" w:rsidRDefault="00000000">
      <w:r>
        <w:t>Structural health monitoring addresses this gap by treating changes in measured dynamic response as evidence of possible changes in stiffness, looseness, connection condition, or boundary support. A tower does not need to be fully instrumented to make this useful at the prototype stage: even a small number of reliable vibration measurements can establish baseline behavior, support post-event comparison, and identify whether a site deserves closer inspection. For this reason, the critical engineering question is not only whether an accelerometer can record motion, but whether a low-cost field node can produce repeatable acceleration data, transmit it continuously, and retain enough power autonomy to be useful outside the laboratory.</w:t>
      </w:r>
    </w:p>
    <w:p w14:paraId="396F84DC" w14:textId="77777777" w:rsidR="003D4DE7" w:rsidRDefault="00000000">
      <w:r>
        <w:t>The engineering constraints shape the system design. A practical node for remote tower monitoring should be low cost, physically simple, cellular rather than Wi-Fi dependent, and capable of operating from a solar-assisted power source. It should also avoid a custom circuit-board design unless the sensing, power, and data-pipeline assumptions are already proven. This project therefore uses the Nordic Thingy:91 X as an integrated sensor-node platform and evaluates whether its onboard ADXL367 accelerometer, LTE-M modem, and external solar/battery front end can support prototype-level structural monitoring with a constant stream of cloud-accessible data.</w:t>
      </w:r>
    </w:p>
    <w:p w14:paraId="0648C4F1" w14:textId="77777777" w:rsidR="00102E0C" w:rsidRDefault="00000000">
      <w:pPr>
        <w:pStyle w:val="Heading2"/>
      </w:pPr>
      <w:r>
        <w:t>1.2 Research Objective</w:t>
      </w:r>
    </w:p>
    <w:p w14:paraId="30B7FCEF" w14:textId="77777777" w:rsidR="00102E0C" w:rsidRDefault="00000000">
      <w:r>
        <w:t>The research objective of this project is to evaluate whether a low-cost cellular accelerometer node can provide useful prototype-level vibration measurements for remote structural health monitoring. Specifically, the project tests whether the Nordic Thingy:91 X platform can collect triaxial acceleration data with its onboard ADXL367 accelerometer, transmit that data over LTE-M to a cloud database, and operate within a solar-assisted power architecture suitable for future unattended field deployment.</w:t>
      </w:r>
    </w:p>
    <w:p w14:paraId="1D6F3D2F" w14:textId="77777777" w:rsidR="00102E0C" w:rsidRDefault="00000000">
      <w:r>
        <w:t>The objective is also comparative: the onboard accelerometer is evaluated against a LORD S-200 reference sensor to determine whether the low-cost integrated sensor preserves the dominant time-domain and frequency-domain behavior of the measured motion. Success is defined by an end-to-end feasibility result, not by full deployment readiness: the node must demonstrate working sensing, data transmission, power plausibility, and reference-sensor agreement well enough to justify longer outdoor testing.</w:t>
      </w:r>
    </w:p>
    <w:p w14:paraId="4F8AFE2D" w14:textId="77777777" w:rsidR="00102E0C" w:rsidRDefault="00000000">
      <w:pPr>
        <w:pStyle w:val="Heading2"/>
      </w:pPr>
      <w:r>
        <w:lastRenderedPageBreak/>
        <w:t>1.3 Scope of This Report</w:t>
      </w:r>
    </w:p>
    <w:p w14:paraId="2245F6D7" w14:textId="77777777" w:rsidR="00102E0C" w:rsidRDefault="00000000">
      <w:r>
        <w:t>This report covers a proof-of-concept sensor node and validation study for structural health monitoring, not a complete deployed monitoring network. The report focuses on the design and evidence needed to judge whether the selected low-cost platform can support future field testing: the hardware architecture, firmware and cloud data path, power model, and comparison of the onboard accelerometer against a reference sensor.</w:t>
      </w:r>
    </w:p>
    <w:p w14:paraId="711B5E8F" w14:textId="77777777" w:rsidR="00102E0C" w:rsidRDefault="00000000">
      <w:r>
        <w:t>The scope is intentionally limited to prototype feasibility. It does not claim production readiness, tower-level damage diagnosis, fleet-scale deployment, or environmental qualification. Remaining deployment work includes longer unattended outdoor operation, direct verification of the solar charging path, external-buffer state-of-charge monitoring, and additional validation data under realistic tower conditions.</w:t>
      </w:r>
    </w:p>
    <w:p w14:paraId="42078697" w14:textId="77777777" w:rsidR="00102E0C" w:rsidRDefault="00000000">
      <w:pPr>
        <w:pStyle w:val="Heading1"/>
      </w:pPr>
      <w:r>
        <w:t>2. Specific Goals</w:t>
      </w:r>
    </w:p>
    <w:p w14:paraId="35C32540" w14:textId="77777777" w:rsidR="00102E0C" w:rsidRDefault="00000000">
      <w:pPr>
        <w:pStyle w:val="Heading2"/>
      </w:pPr>
      <w:r>
        <w:t>2.1 Goal Summary</w:t>
      </w:r>
    </w:p>
    <w:p w14:paraId="1A78CC4A" w14:textId="77777777" w:rsidR="00102E0C" w:rsidRDefault="00000000">
      <w:r>
        <w:t>The project goals translate the broader structural-health-monitoring objective into six measurable prototype outcomes:</w:t>
      </w:r>
    </w:p>
    <w:p w14:paraId="2741E3AA" w14:textId="77777777" w:rsidR="00102E0C" w:rsidRDefault="00000000">
      <w:pPr>
        <w:pStyle w:val="ListBullet"/>
      </w:pPr>
      <w:r>
        <w:t>Build a working sensing node using the Nordic Thingy:91 X and its onboard ADXL367 accelerometer, with raw triaxial acceleration available for analysis.</w:t>
      </w:r>
    </w:p>
    <w:p w14:paraId="25C7ADC0" w14:textId="77777777" w:rsidR="00102E0C" w:rsidRDefault="00000000">
      <w:pPr>
        <w:pStyle w:val="ListBullet"/>
      </w:pPr>
      <w:r>
        <w:t>Demonstrate continuous acceleration capture by sampling the ADXL367 FIFO stream and packaging readings into 100-sample batches without relying on manual data collection.</w:t>
      </w:r>
    </w:p>
    <w:p w14:paraId="7861730B" w14:textId="77777777" w:rsidR="00102E0C" w:rsidRDefault="00000000">
      <w:pPr>
        <w:pStyle w:val="ListBullet"/>
      </w:pPr>
      <w:r>
        <w:t>Prove the LTE-M cloud data path by posting acceleration batches and battery-related telemetry to Supabase/PostgREST and making the data visible in the dashboard/export workflow.</w:t>
      </w:r>
    </w:p>
    <w:p w14:paraId="4D875419" w14:textId="77777777" w:rsidR="00102E0C" w:rsidRDefault="00000000">
      <w:pPr>
        <w:pStyle w:val="ListBullet"/>
      </w:pPr>
      <w:r>
        <w:t>Evaluate power feasibility by separating the current continuous-post firmware behavior from the intended solar-assisted duty-cycled field architecture, including internal-battery and external-buffer autonomy estimates.</w:t>
      </w:r>
    </w:p>
    <w:p w14:paraId="5BB21A86" w14:textId="77777777" w:rsidR="00102E0C" w:rsidRDefault="00000000">
      <w:pPr>
        <w:pStyle w:val="ListBullet"/>
      </w:pPr>
      <w:r>
        <w:t>Validate accelerometer usefulness by comparing the prototype data against a LORD S-200 reference sensor in both time-domain magnitude behavior and frequency-domain amplitude content.</w:t>
      </w:r>
    </w:p>
    <w:p w14:paraId="5AB05F8B" w14:textId="77777777" w:rsidR="00102E0C" w:rsidRDefault="00000000">
      <w:pPr>
        <w:pStyle w:val="ListBullet"/>
      </w:pPr>
      <w:r>
        <w:t>Define the deployment envelope by identifying what the prototype already demonstrates and what remains before longer unattended outdoor operation, including mounting, enclosure, solar-path verification, and additional field data.</w:t>
      </w:r>
    </w:p>
    <w:p w14:paraId="3B4E41AC" w14:textId="77777777" w:rsidR="00102E0C" w:rsidRDefault="00000000">
      <w:pPr>
        <w:pStyle w:val="Heading1"/>
      </w:pPr>
      <w:r>
        <w:t>3. Devices</w:t>
      </w:r>
    </w:p>
    <w:p w14:paraId="443A25B9" w14:textId="77777777" w:rsidR="00102E0C" w:rsidRDefault="00000000">
      <w:pPr>
        <w:pStyle w:val="TemplatePlaceholder"/>
      </w:pPr>
      <w:r>
        <w:t>[Introduce the physical and software system. Keep this section descriptive and specific: what was built, what each part does, and what evidence proves it worked.]</w:t>
      </w:r>
    </w:p>
    <w:p w14:paraId="05C5F391" w14:textId="77777777" w:rsidR="00102E0C" w:rsidRDefault="00000000">
      <w:pPr>
        <w:pStyle w:val="Heading2"/>
      </w:pPr>
      <w:r>
        <w:lastRenderedPageBreak/>
        <w:t>3.1 Hardware</w:t>
      </w:r>
    </w:p>
    <w:p w14:paraId="161DAE7C" w14:textId="77777777" w:rsidR="00102E0C" w:rsidRDefault="00000000">
      <w:r>
        <w:t>Figure 3.1 summarizes the hardware architecture. The prototype uses an unmodified Nordic Thingy:91 X as the sensing, compute, local battery, and LTE-M communications node, with the field power hardware kept external. The external chain harvests solar energy, buffers it in a separate LiPo battery, and presents the Thingy with a regulated 5.0 V USB-C input.</w:t>
      </w:r>
    </w:p>
    <w:p w14:paraId="0BBB965A" w14:textId="77777777" w:rsidR="00102E0C" w:rsidRDefault="00000000">
      <w:pPr>
        <w:jc w:val="center"/>
      </w:pPr>
      <w:r>
        <w:rPr>
          <w:noProof/>
        </w:rPr>
        <w:drawing>
          <wp:inline distT="0" distB="0" distL="0" distR="0" wp14:anchorId="3E1A8DF9" wp14:editId="1BC553CA">
            <wp:extent cx="5943600" cy="46363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hardware-architecture.png"/>
                    <pic:cNvPicPr/>
                  </pic:nvPicPr>
                  <pic:blipFill>
                    <a:blip r:embed="rId8"/>
                    <a:stretch>
                      <a:fillRect/>
                    </a:stretch>
                  </pic:blipFill>
                  <pic:spPr>
                    <a:xfrm>
                      <a:off x="0" y="0"/>
                      <a:ext cx="5943600" cy="4636364"/>
                    </a:xfrm>
                    <a:prstGeom prst="rect">
                      <a:avLst/>
                    </a:prstGeom>
                  </pic:spPr>
                </pic:pic>
              </a:graphicData>
            </a:graphic>
          </wp:inline>
        </w:drawing>
      </w:r>
    </w:p>
    <w:p w14:paraId="3683C33A" w14:textId="77777777" w:rsidR="00102E0C" w:rsidRDefault="00000000">
      <w:pPr>
        <w:pStyle w:val="Caption"/>
        <w:jc w:val="center"/>
      </w:pPr>
      <w:r>
        <w:t>Figure 3.1. Solar hardware architecture for the PR-SHM sensor node. The BQ24074 manages solar charging and the external LiPo; the S7V8F5 provides the regulated 5.0 V USB-C input to the Thingy:91 X. Firmware telemetry describes the Thingy internal battery/PMIC domain, not the external 10 Ah buffer state of charge.</w:t>
      </w:r>
    </w:p>
    <w:p w14:paraId="77E55B50" w14:textId="77777777" w:rsidR="00102E0C" w:rsidRDefault="00000000">
      <w:r>
        <w:t>Editable source: public/diagrams/final-hardware-architecture.drawio. SVG export: public/diagrams/final-hardware-architecture.svg.</w:t>
      </w:r>
    </w:p>
    <w:p w14:paraId="34ED04B3" w14:textId="77777777" w:rsidR="001A562E" w:rsidRDefault="001A562E" w:rsidP="001A562E">
      <w:r>
        <w:rPr>
          <w:noProof/>
        </w:rPr>
        <w:lastRenderedPageBreak/>
        <w:drawing>
          <wp:inline distT="0" distB="0" distL="0" distR="0" wp14:anchorId="1798913C" wp14:editId="4A6F0688">
            <wp:extent cx="3551188" cy="5943506"/>
            <wp:effectExtent l="0" t="2223" r="2858" b="2857"/>
            <wp:docPr id="181519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90194" name="Picture 1815190194"/>
                    <pic:cNvPicPr/>
                  </pic:nvPicPr>
                  <pic:blipFill rotWithShape="1">
                    <a:blip r:embed="rId9"/>
                    <a:srcRect l="27441" r="27748"/>
                    <a:stretch>
                      <a:fillRect/>
                    </a:stretch>
                  </pic:blipFill>
                  <pic:spPr bwMode="auto">
                    <a:xfrm rot="5400000">
                      <a:off x="0" y="0"/>
                      <a:ext cx="3551188" cy="5943506"/>
                    </a:xfrm>
                    <a:prstGeom prst="rect">
                      <a:avLst/>
                    </a:prstGeom>
                    <a:ln>
                      <a:noFill/>
                    </a:ln>
                    <a:extLst>
                      <a:ext uri="{53640926-AAD7-44D8-BBD7-CCE9431645EC}">
                        <a14:shadowObscured xmlns:a14="http://schemas.microsoft.com/office/drawing/2010/main"/>
                      </a:ext>
                    </a:extLst>
                  </pic:spPr>
                </pic:pic>
              </a:graphicData>
            </a:graphic>
          </wp:inline>
        </w:drawing>
      </w:r>
    </w:p>
    <w:p w14:paraId="03DA0B71" w14:textId="77777777" w:rsidR="00495630" w:rsidRPr="001A562E" w:rsidRDefault="00495630" w:rsidP="001A562E">
      <w:pPr>
        <w:pStyle w:val="Caption"/>
      </w:pPr>
      <w:r>
        <w:t>Figure 3.2. Assembled prototype hardware used for integration testing. The photo shows the physical sensor node, solar panel, and external power hardware in the short-term test configuration before final tower-rated enclosure and rigid deployment mounting are completed.</w:t>
      </w:r>
    </w:p>
    <w:p w14:paraId="5EF59B4E" w14:textId="77777777" w:rsidR="00102E0C" w:rsidRDefault="00000000">
      <w:r>
        <w:t xml:space="preserve">Figure 3.2 shows the assembled hardware used for integration testing. The main design boundary is telemetry: firmware battery and charger readings come from the Thingy internal nPM1300/stock-LiPo domain and confirm the local battery and USB input state, but they do not directly measure the external 10 Ah buffer state of charge. The onboard ADXL367 provides the prototype acceleration measurement, while the LORD S-200 is reference equipment used only for validation. </w:t>
      </w:r>
    </w:p>
    <w:p w14:paraId="0F53F474" w14:textId="77777777" w:rsidR="00102E0C" w:rsidRDefault="00000000">
      <w:pPr>
        <w:pStyle w:val="Heading2"/>
      </w:pPr>
      <w:r>
        <w:t>3.2 Firmware and Software</w:t>
      </w:r>
    </w:p>
    <w:p w14:paraId="22D5B5F2" w14:textId="77777777" w:rsidR="00102E0C" w:rsidRDefault="00000000">
      <w:r>
        <w:t>The firmware is written in C on Zephyr through the nRF Connect SDK for the Thingy:91 X nRF9151 target. On boot, the application initializes the onboard ADXL367 accelerometer, the nPM1300 power interface, the cellular modem, and the TLS certificate used for HTTPS communication. The current firmware is a continuous-stream prototype: it prioritizes reliable sample capture and end-to-end upload rather than aggressive sleep scheduling.</w:t>
      </w:r>
    </w:p>
    <w:p w14:paraId="7BB1DA67" w14:textId="77777777" w:rsidR="00102E0C" w:rsidRDefault="00000000">
      <w:r>
        <w:t>Acceleration is captured from the ADXL367 FIFO at 25 Hz in the +/-2 g range. The firmware reads the sensor directly over I2C as signed 14-bit raw counts, drains the FIFO into a RAM message queue, and groups readings into 100-sample batches. Each batch therefore represents about four seconds of triaxial acceleration data. The batch payload stores the x, y, and z arrays plus internal Thingy battery percentage, preserving raw data for later conversion, calibration, and frequency analysis off-device.</w:t>
      </w:r>
    </w:p>
    <w:p w14:paraId="7114AB49" w14:textId="77777777" w:rsidR="00102E0C" w:rsidRDefault="00000000">
      <w:r>
        <w:lastRenderedPageBreak/>
        <w:t>The transport layer posts each batch to Supabase/PostgREST over LTE-M using the nRF modem TLS store and Zephyr REST client. A successful upload is indicated by an HTTP 201 or 200 response. If a batch POST fails, the firmware forces the modem offline, reconnects to LTE-M, and retries the batch once. Power firmware also exposes internal-battery voltage, current direction, VBUS presence, and charger-state reads for diagnostics; these readings describe the Thingy internal power domain, not the external solar buffer.</w:t>
      </w:r>
    </w:p>
    <w:p w14:paraId="40FBF1C0" w14:textId="77777777" w:rsidR="00102E0C" w:rsidRDefault="00000000">
      <w:pPr>
        <w:pStyle w:val="Heading2"/>
      </w:pPr>
      <w:r>
        <w:t>3.3 Cloud Data Pipeline</w:t>
      </w:r>
    </w:p>
    <w:p w14:paraId="1C7631B0" w14:textId="77777777" w:rsidR="00102E0C" w:rsidRDefault="00000000">
      <w:r>
        <w:t>The cloud pipeline starts when the firmware sends an HTTPS POST to the Supabase PostgREST endpoint for the accel_batches table. Each database row represents one uploaded batch and contains the Supabase arrival timestamp, internal Thingy battery percentage, and three compact smallint arrays for x, y, and z acceleration counts. This compact row-per-batch format avoids the overhead of inserting one database row per accelerometer sample while preserving the raw triaxial data. Figure 3.3 summarizes this path.</w:t>
      </w:r>
    </w:p>
    <w:p w14:paraId="7D5CE5BB" w14:textId="77777777" w:rsidR="002E23D2" w:rsidRDefault="00000000">
      <w:pPr>
        <w:spacing w:after="80"/>
        <w:jc w:val="center"/>
      </w:pPr>
      <w:r>
        <w:rPr>
          <w:noProof/>
        </w:rPr>
        <w:drawing>
          <wp:inline distT="0" distB="0" distL="0" distR="0" wp14:anchorId="1C489749" wp14:editId="27E0945B">
            <wp:extent cx="5715000" cy="2115734"/>
            <wp:effectExtent l="0" t="0" r="0" b="0"/>
            <wp:docPr id="1815190198" name="Picture 181519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ipeline-flowchart.png"/>
                    <pic:cNvPicPr/>
                  </pic:nvPicPr>
                  <pic:blipFill>
                    <a:blip r:embed="rId10"/>
                    <a:stretch>
                      <a:fillRect/>
                    </a:stretch>
                  </pic:blipFill>
                  <pic:spPr>
                    <a:xfrm>
                      <a:off x="0" y="0"/>
                      <a:ext cx="5715000" cy="2115734"/>
                    </a:xfrm>
                    <a:prstGeom prst="rect">
                      <a:avLst/>
                    </a:prstGeom>
                  </pic:spPr>
                </pic:pic>
              </a:graphicData>
            </a:graphic>
          </wp:inline>
        </w:drawing>
      </w:r>
    </w:p>
    <w:p w14:paraId="6FE62AFF" w14:textId="77777777" w:rsidR="002E23D2" w:rsidRDefault="00000000">
      <w:pPr>
        <w:pStyle w:val="Caption"/>
        <w:spacing w:after="120"/>
      </w:pPr>
      <w:r>
        <w:t>Figure 3.3. Minimal data pipeline for the PR-SHM prototype. Raw ADXL367 acceleration is batched on the Thingy:91 X, uploaded over LTE-M to Supabase, viewed in the dashboard, and exported for downstream calibration and FFT analysis.</w:t>
      </w:r>
    </w:p>
    <w:p w14:paraId="6C0C6069" w14:textId="77777777" w:rsidR="002E23D2" w:rsidRDefault="00000000">
      <w:r>
        <w:t>Editable source: public/diagrams/data-pipeline-flowchart.drawio. SVG export: public/diagrams/data-pipeline-flowchart.svg. PNG export: public/diagrams/data-pipeline-flowchart.png.</w:t>
      </w:r>
    </w:p>
    <w:p w14:paraId="31DB8C03" w14:textId="77777777" w:rsidR="00102E0C" w:rsidRDefault="00000000">
      <w:r>
        <w:t>For display and analysis, the database and frontend expand those batches back into a sample stream. The accel_samples_25hz SQL view unnests the x, y, and z arrays with ordinality and assigns 40 ms sample spacing for the 25 Hz stream; gaps longer than 15 seconds begin a new segment so outages remain visible. The React dashboard queries batch rows by time range, reconstructs per-sample traces for plotting, and uses a downsampled summary query for longer full-history views.</w:t>
      </w:r>
    </w:p>
    <w:p w14:paraId="4E973045" w14:textId="77777777" w:rsidR="00102E0C" w:rsidRDefault="00000000">
      <w:r>
        <w:t xml:space="preserve">The pipeline intentionally keeps the stored acceleration values as raw counts. Unit conversion to g, magnitude calculation, calibration against the LORD reference sensor, and FFT analysis are performed downstream from exported database/CSV data. The main evidence for this section is </w:t>
      </w:r>
      <w:r>
        <w:lastRenderedPageBreak/>
        <w:t>the successful HTTP 201 upload path, rows present in accel_batches, dashboard visibility, and exported datasets used in the validation plots.</w:t>
      </w:r>
    </w:p>
    <w:p w14:paraId="1923B776" w14:textId="77777777" w:rsidR="00102E0C" w:rsidRDefault="00000000">
      <w:pPr>
        <w:pStyle w:val="Heading1"/>
      </w:pPr>
      <w:r>
        <w:t>4. Test Results and Success Criteria</w:t>
      </w:r>
    </w:p>
    <w:p w14:paraId="0A41EF08" w14:textId="77777777" w:rsidR="00102E0C" w:rsidRDefault="00000000">
      <w:r>
        <w:t>The results are organized around feasibility claims rather than build chronology. For each test, the report states the measurement method, the comparison metric, the observed result, and the remaining limitation. The strongest quantitative evidence is the axis-calibrated accelerometer validation: the prototype preserves both time-domain magnitude behavior and frequency-domain content over the tested 30.46 s vibration window.</w:t>
      </w:r>
    </w:p>
    <w:p w14:paraId="1E7BAC1F" w14:textId="77777777" w:rsidR="00102E0C" w:rsidRDefault="00000000">
      <w:pPr>
        <w:pStyle w:val="Heading1"/>
      </w:pPr>
      <w:r>
        <w:t>4.1 Constant-Stream Power and Solar Feasibility</w:t>
      </w:r>
    </w:p>
    <w:p w14:paraId="0986ED2B" w14:textId="77777777" w:rsidR="00102E0C" w:rsidRDefault="00000000">
      <w:pPr>
        <w:pStyle w:val="TemplatePlaceholder"/>
      </w:pPr>
      <w:r>
        <w:t>[Use POWER_BUDGET.md. Show daily energy load, external-buffer autonomy, solar harvest margin, and observed battery telemetry. Make the claim that the constant stream is supportable if the budget assumptions hold.]</w:t>
      </w:r>
    </w:p>
    <w:p w14:paraId="18453E2D" w14:textId="77777777" w:rsidR="00102E0C" w:rsidRDefault="00000000">
      <w:pPr>
        <w:pStyle w:val="Heading1"/>
      </w:pPr>
      <w:r>
        <w:t>4.2 Accelerometer Viability Test</w:t>
      </w:r>
    </w:p>
    <w:p w14:paraId="336EF6A0" w14:textId="77777777" w:rsidR="00102E0C" w:rsidRDefault="00000000">
      <w:r>
        <w:t>The accelerometer viability test compared the Thingy:91 X prototype against the LORD reference accelerometer over a 3,900-sample aligned window. The signals were first aligned by raw magnitude peaks, then the raw Thingy x, y, and z axes were mapped into the LORD g-frame using a three-axis affine calibration. Magnitude was computed after axis calibration, so the comparison evaluates a physically comparable acceleration magnitude rather than raw counts or unmatched device axes.</w:t>
      </w:r>
    </w:p>
    <w:p w14:paraId="42F82D65" w14:textId="77777777" w:rsidR="002E23D2" w:rsidRDefault="00000000">
      <w:r>
        <w:t>The calibrated magnitude trace closely followed the LORD reference during the impulsive event and subsequent ring-down. Across the validation window, the magnitude correlation was r = 0.955, RMSE was 0.040 g, and mean bias was -0.0089 g. This supports the prototype as a viable low-cost source for event and vibration-magnitude tracking under the tested mounting and sampling conditions; it does not yet establish absolute accuracy across all installations or longer environmental exposures.</w:t>
      </w:r>
    </w:p>
    <w:p w14:paraId="45F24A4B" w14:textId="77777777" w:rsidR="002E23D2" w:rsidRDefault="00000000">
      <w:pPr>
        <w:pStyle w:val="Caption"/>
        <w:spacing w:before="0" w:after="80"/>
      </w:pPr>
      <w:r>
        <w:t>Table 4.1. Summary metrics for the axis-calibrated accelerometer validation.</w:t>
      </w:r>
    </w:p>
    <w:tbl>
      <w:tblPr>
        <w:tblStyle w:val="TableGrid"/>
        <w:tblW w:w="9400" w:type="dxa"/>
        <w:tblLayout w:type="fixed"/>
        <w:tblLook w:val="04A0" w:firstRow="1" w:lastRow="0" w:firstColumn="1" w:lastColumn="0" w:noHBand="0" w:noVBand="1"/>
      </w:tblPr>
      <w:tblGrid>
        <w:gridCol w:w="2500"/>
        <w:gridCol w:w="3000"/>
        <w:gridCol w:w="3900"/>
      </w:tblGrid>
      <w:tr w:rsidR="002E23D2" w14:paraId="0E5A8941" w14:textId="77777777">
        <w:tc>
          <w:tcPr>
            <w:tcW w:w="2500" w:type="dxa"/>
            <w:shd w:val="clear" w:color="auto" w:fill="EAF1F8"/>
            <w:tcMar>
              <w:top w:w="70" w:type="dxa"/>
              <w:left w:w="100" w:type="dxa"/>
              <w:bottom w:w="70" w:type="dxa"/>
              <w:right w:w="100" w:type="dxa"/>
            </w:tcMar>
            <w:vAlign w:val="center"/>
          </w:tcPr>
          <w:p w14:paraId="7B18E779" w14:textId="77777777" w:rsidR="002E23D2" w:rsidRDefault="00000000">
            <w:pPr>
              <w:spacing w:after="0"/>
            </w:pPr>
            <w:r>
              <w:rPr>
                <w:b/>
                <w:sz w:val="17"/>
              </w:rPr>
              <w:t>Metric</w:t>
            </w:r>
          </w:p>
        </w:tc>
        <w:tc>
          <w:tcPr>
            <w:tcW w:w="3000" w:type="dxa"/>
            <w:shd w:val="clear" w:color="auto" w:fill="EAF1F8"/>
            <w:tcMar>
              <w:top w:w="70" w:type="dxa"/>
              <w:left w:w="100" w:type="dxa"/>
              <w:bottom w:w="70" w:type="dxa"/>
              <w:right w:w="100" w:type="dxa"/>
            </w:tcMar>
            <w:vAlign w:val="center"/>
          </w:tcPr>
          <w:p w14:paraId="0575110F" w14:textId="77777777" w:rsidR="002E23D2" w:rsidRDefault="00000000">
            <w:pPr>
              <w:spacing w:after="0"/>
            </w:pPr>
            <w:r>
              <w:rPr>
                <w:b/>
                <w:sz w:val="17"/>
              </w:rPr>
              <w:t>Result</w:t>
            </w:r>
          </w:p>
        </w:tc>
        <w:tc>
          <w:tcPr>
            <w:tcW w:w="3900" w:type="dxa"/>
            <w:shd w:val="clear" w:color="auto" w:fill="EAF1F8"/>
            <w:tcMar>
              <w:top w:w="70" w:type="dxa"/>
              <w:left w:w="100" w:type="dxa"/>
              <w:bottom w:w="70" w:type="dxa"/>
              <w:right w:w="100" w:type="dxa"/>
            </w:tcMar>
            <w:vAlign w:val="center"/>
          </w:tcPr>
          <w:p w14:paraId="771C28EA" w14:textId="77777777" w:rsidR="002E23D2" w:rsidRDefault="00000000">
            <w:pPr>
              <w:spacing w:after="0"/>
            </w:pPr>
            <w:r>
              <w:rPr>
                <w:b/>
                <w:sz w:val="17"/>
              </w:rPr>
              <w:t>Interpretation</w:t>
            </w:r>
          </w:p>
        </w:tc>
      </w:tr>
      <w:tr w:rsidR="002E23D2" w14:paraId="19DCEC31" w14:textId="77777777">
        <w:tc>
          <w:tcPr>
            <w:tcW w:w="2500" w:type="dxa"/>
            <w:shd w:val="clear" w:color="auto" w:fill="FFFFFF"/>
            <w:tcMar>
              <w:top w:w="70" w:type="dxa"/>
              <w:left w:w="100" w:type="dxa"/>
              <w:bottom w:w="70" w:type="dxa"/>
              <w:right w:w="100" w:type="dxa"/>
            </w:tcMar>
            <w:vAlign w:val="center"/>
          </w:tcPr>
          <w:p w14:paraId="425039D6" w14:textId="77777777" w:rsidR="002E23D2" w:rsidRDefault="00000000">
            <w:pPr>
              <w:spacing w:after="0"/>
            </w:pPr>
            <w:r>
              <w:rPr>
                <w:sz w:val="16"/>
              </w:rPr>
              <w:t>Validation window and processing</w:t>
            </w:r>
          </w:p>
        </w:tc>
        <w:tc>
          <w:tcPr>
            <w:tcW w:w="3000" w:type="dxa"/>
            <w:shd w:val="clear" w:color="auto" w:fill="FFFFFF"/>
            <w:tcMar>
              <w:top w:w="70" w:type="dxa"/>
              <w:left w:w="100" w:type="dxa"/>
              <w:bottom w:w="70" w:type="dxa"/>
              <w:right w:w="100" w:type="dxa"/>
            </w:tcMar>
            <w:vAlign w:val="center"/>
          </w:tcPr>
          <w:p w14:paraId="1AC79B90" w14:textId="77777777" w:rsidR="002E23D2" w:rsidRDefault="00000000">
            <w:pPr>
              <w:spacing w:after="0"/>
            </w:pPr>
            <w:r>
              <w:rPr>
                <w:sz w:val="16"/>
              </w:rPr>
              <w:t>3,900 samples; 30.46 s; peak aligned; 3-axis affine calibration</w:t>
            </w:r>
          </w:p>
        </w:tc>
        <w:tc>
          <w:tcPr>
            <w:tcW w:w="3900" w:type="dxa"/>
            <w:shd w:val="clear" w:color="auto" w:fill="FFFFFF"/>
            <w:tcMar>
              <w:top w:w="70" w:type="dxa"/>
              <w:left w:w="100" w:type="dxa"/>
              <w:bottom w:w="70" w:type="dxa"/>
              <w:right w:w="100" w:type="dxa"/>
            </w:tcMar>
            <w:vAlign w:val="center"/>
          </w:tcPr>
          <w:p w14:paraId="76A7AE76" w14:textId="77777777" w:rsidR="002E23D2" w:rsidRDefault="00000000">
            <w:pPr>
              <w:spacing w:after="0"/>
            </w:pPr>
            <w:r>
              <w:rPr>
                <w:sz w:val="16"/>
              </w:rPr>
              <w:t>Magnitude was computed after mapping raw Thingy axes into the LORD g-frame.</w:t>
            </w:r>
          </w:p>
        </w:tc>
      </w:tr>
      <w:tr w:rsidR="002E23D2" w14:paraId="6EC57C72" w14:textId="77777777">
        <w:tc>
          <w:tcPr>
            <w:tcW w:w="2500" w:type="dxa"/>
            <w:shd w:val="clear" w:color="auto" w:fill="FFFFFF"/>
            <w:tcMar>
              <w:top w:w="70" w:type="dxa"/>
              <w:left w:w="100" w:type="dxa"/>
              <w:bottom w:w="70" w:type="dxa"/>
              <w:right w:w="100" w:type="dxa"/>
            </w:tcMar>
            <w:vAlign w:val="center"/>
          </w:tcPr>
          <w:p w14:paraId="4B5DC8ED" w14:textId="77777777" w:rsidR="002E23D2" w:rsidRDefault="00000000">
            <w:pPr>
              <w:spacing w:after="0"/>
            </w:pPr>
            <w:r>
              <w:rPr>
                <w:sz w:val="16"/>
              </w:rPr>
              <w:t>Time-domain magnitude agreement</w:t>
            </w:r>
          </w:p>
        </w:tc>
        <w:tc>
          <w:tcPr>
            <w:tcW w:w="3000" w:type="dxa"/>
            <w:shd w:val="clear" w:color="auto" w:fill="FFFFFF"/>
            <w:tcMar>
              <w:top w:w="70" w:type="dxa"/>
              <w:left w:w="100" w:type="dxa"/>
              <w:bottom w:w="70" w:type="dxa"/>
              <w:right w:w="100" w:type="dxa"/>
            </w:tcMar>
            <w:vAlign w:val="center"/>
          </w:tcPr>
          <w:p w14:paraId="67F1FD9E" w14:textId="77777777" w:rsidR="002E23D2" w:rsidRDefault="00000000">
            <w:pPr>
              <w:spacing w:after="0"/>
            </w:pPr>
            <w:r>
              <w:rPr>
                <w:sz w:val="16"/>
              </w:rPr>
              <w:t>Pearson r = 0.955; RMSE = 0.040 g; bias = -0.0089 g</w:t>
            </w:r>
          </w:p>
        </w:tc>
        <w:tc>
          <w:tcPr>
            <w:tcW w:w="3900" w:type="dxa"/>
            <w:shd w:val="clear" w:color="auto" w:fill="FFFFFF"/>
            <w:tcMar>
              <w:top w:w="70" w:type="dxa"/>
              <w:left w:w="100" w:type="dxa"/>
              <w:bottom w:w="70" w:type="dxa"/>
              <w:right w:w="100" w:type="dxa"/>
            </w:tcMar>
            <w:vAlign w:val="center"/>
          </w:tcPr>
          <w:p w14:paraId="499B8837" w14:textId="77777777" w:rsidR="002E23D2" w:rsidRDefault="00000000">
            <w:pPr>
              <w:spacing w:after="0"/>
            </w:pPr>
            <w:r>
              <w:rPr>
                <w:sz w:val="16"/>
              </w:rPr>
              <w:t>Calibrated Thingy magnitude closely follows the LORD reference trace.</w:t>
            </w:r>
          </w:p>
        </w:tc>
      </w:tr>
      <w:tr w:rsidR="002E23D2" w14:paraId="5D3FB56D" w14:textId="77777777">
        <w:tc>
          <w:tcPr>
            <w:tcW w:w="2500" w:type="dxa"/>
            <w:shd w:val="clear" w:color="auto" w:fill="FFFFFF"/>
            <w:tcMar>
              <w:top w:w="70" w:type="dxa"/>
              <w:left w:w="100" w:type="dxa"/>
              <w:bottom w:w="70" w:type="dxa"/>
              <w:right w:w="100" w:type="dxa"/>
            </w:tcMar>
            <w:vAlign w:val="center"/>
          </w:tcPr>
          <w:p w14:paraId="294412C8" w14:textId="77777777" w:rsidR="002E23D2" w:rsidRDefault="00000000">
            <w:pPr>
              <w:spacing w:after="0"/>
            </w:pPr>
            <w:r>
              <w:rPr>
                <w:sz w:val="16"/>
              </w:rPr>
              <w:t>Normalized magnitude error</w:t>
            </w:r>
          </w:p>
        </w:tc>
        <w:tc>
          <w:tcPr>
            <w:tcW w:w="3000" w:type="dxa"/>
            <w:shd w:val="clear" w:color="auto" w:fill="FFFFFF"/>
            <w:tcMar>
              <w:top w:w="70" w:type="dxa"/>
              <w:left w:w="100" w:type="dxa"/>
              <w:bottom w:w="70" w:type="dxa"/>
              <w:right w:w="100" w:type="dxa"/>
            </w:tcMar>
            <w:vAlign w:val="center"/>
          </w:tcPr>
          <w:p w14:paraId="339155C1" w14:textId="77777777" w:rsidR="002E23D2" w:rsidRDefault="00000000">
            <w:pPr>
              <w:spacing w:after="0"/>
            </w:pPr>
            <w:r>
              <w:rPr>
                <w:sz w:val="16"/>
              </w:rPr>
              <w:t>3.8% of LORD RMS</w:t>
            </w:r>
          </w:p>
        </w:tc>
        <w:tc>
          <w:tcPr>
            <w:tcW w:w="3900" w:type="dxa"/>
            <w:shd w:val="clear" w:color="auto" w:fill="FFFFFF"/>
            <w:tcMar>
              <w:top w:w="70" w:type="dxa"/>
              <w:left w:w="100" w:type="dxa"/>
              <w:bottom w:w="70" w:type="dxa"/>
              <w:right w:w="100" w:type="dxa"/>
            </w:tcMar>
            <w:vAlign w:val="center"/>
          </w:tcPr>
          <w:p w14:paraId="69939172" w14:textId="77777777" w:rsidR="002E23D2" w:rsidRDefault="00000000">
            <w:pPr>
              <w:spacing w:after="0"/>
            </w:pPr>
            <w:r>
              <w:rPr>
                <w:sz w:val="16"/>
              </w:rPr>
              <w:t>Error is small relative to the observed reference response.</w:t>
            </w:r>
          </w:p>
        </w:tc>
      </w:tr>
      <w:tr w:rsidR="002E23D2" w14:paraId="4CDE929E" w14:textId="77777777">
        <w:tc>
          <w:tcPr>
            <w:tcW w:w="2500" w:type="dxa"/>
            <w:shd w:val="clear" w:color="auto" w:fill="FFFFFF"/>
            <w:tcMar>
              <w:top w:w="70" w:type="dxa"/>
              <w:left w:w="100" w:type="dxa"/>
              <w:bottom w:w="70" w:type="dxa"/>
              <w:right w:w="100" w:type="dxa"/>
            </w:tcMar>
            <w:vAlign w:val="center"/>
          </w:tcPr>
          <w:p w14:paraId="70200FD4" w14:textId="77777777" w:rsidR="002E23D2" w:rsidRDefault="00000000">
            <w:pPr>
              <w:spacing w:after="0"/>
            </w:pPr>
            <w:r>
              <w:rPr>
                <w:sz w:val="16"/>
              </w:rPr>
              <w:t>Frequency-domain agreement</w:t>
            </w:r>
          </w:p>
        </w:tc>
        <w:tc>
          <w:tcPr>
            <w:tcW w:w="3000" w:type="dxa"/>
            <w:shd w:val="clear" w:color="auto" w:fill="FFFFFF"/>
            <w:tcMar>
              <w:top w:w="70" w:type="dxa"/>
              <w:left w:w="100" w:type="dxa"/>
              <w:bottom w:w="70" w:type="dxa"/>
              <w:right w:w="100" w:type="dxa"/>
            </w:tcMar>
            <w:vAlign w:val="center"/>
          </w:tcPr>
          <w:p w14:paraId="190C342D" w14:textId="77777777" w:rsidR="002E23D2" w:rsidRDefault="00000000">
            <w:pPr>
              <w:spacing w:after="0"/>
            </w:pPr>
            <w:r>
              <w:rPr>
                <w:sz w:val="16"/>
              </w:rPr>
              <w:t>Pearson r = 0.952; RMSE = 0.00258 g over 0-12.5 Hz</w:t>
            </w:r>
          </w:p>
        </w:tc>
        <w:tc>
          <w:tcPr>
            <w:tcW w:w="3900" w:type="dxa"/>
            <w:shd w:val="clear" w:color="auto" w:fill="FFFFFF"/>
            <w:tcMar>
              <w:top w:w="70" w:type="dxa"/>
              <w:left w:w="100" w:type="dxa"/>
              <w:bottom w:w="70" w:type="dxa"/>
              <w:right w:w="100" w:type="dxa"/>
            </w:tcMar>
            <w:vAlign w:val="center"/>
          </w:tcPr>
          <w:p w14:paraId="043A5514" w14:textId="77777777" w:rsidR="002E23D2" w:rsidRDefault="00000000">
            <w:pPr>
              <w:spacing w:after="0"/>
            </w:pPr>
            <w:r>
              <w:rPr>
                <w:sz w:val="16"/>
              </w:rPr>
              <w:t>Primary spectral content is retained below the Thingy 25 Hz Nyquist limit.</w:t>
            </w:r>
          </w:p>
        </w:tc>
      </w:tr>
    </w:tbl>
    <w:p w14:paraId="11AB93A3" w14:textId="77777777" w:rsidR="002E23D2" w:rsidRDefault="002E23D2">
      <w:pPr>
        <w:spacing w:after="40"/>
      </w:pPr>
    </w:p>
    <w:p w14:paraId="7E4B9EB1" w14:textId="77777777" w:rsidR="002E23D2" w:rsidRDefault="00000000">
      <w:pPr>
        <w:spacing w:after="60"/>
        <w:jc w:val="center"/>
      </w:pPr>
      <w:r>
        <w:rPr>
          <w:noProof/>
        </w:rPr>
        <w:lastRenderedPageBreak/>
        <w:drawing>
          <wp:inline distT="0" distB="0" distL="0" distR="0" wp14:anchorId="6DA82074" wp14:editId="65F1E139">
            <wp:extent cx="5715000" cy="3940388"/>
            <wp:effectExtent l="0" t="0" r="0" b="0"/>
            <wp:docPr id="1815190196" name="Picture 181519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is_calibrated_magnitude_residual.png"/>
                    <pic:cNvPicPr/>
                  </pic:nvPicPr>
                  <pic:blipFill>
                    <a:blip r:embed="rId11"/>
                    <a:stretch>
                      <a:fillRect/>
                    </a:stretch>
                  </pic:blipFill>
                  <pic:spPr>
                    <a:xfrm>
                      <a:off x="0" y="0"/>
                      <a:ext cx="5715000" cy="3940388"/>
                    </a:xfrm>
                    <a:prstGeom prst="rect">
                      <a:avLst/>
                    </a:prstGeom>
                  </pic:spPr>
                </pic:pic>
              </a:graphicData>
            </a:graphic>
          </wp:inline>
        </w:drawing>
      </w:r>
    </w:p>
    <w:p w14:paraId="3613DB45" w14:textId="77777777" w:rsidR="002E23D2" w:rsidRDefault="00000000">
      <w:pPr>
        <w:pStyle w:val="Caption"/>
        <w:spacing w:before="0"/>
      </w:pPr>
      <w:r>
        <w:t>Figure 4.1. Time-domain validation of axis-calibrated magnitude. The upper panel compares LORD reference magnitude with Thingy:91 axis-calibrated magnitude over the aligned validation window; the lower panel shows residual error computed as Thingy:91 minus LORD.</w:t>
      </w:r>
    </w:p>
    <w:p w14:paraId="32CFC05B" w14:textId="77777777" w:rsidR="00102E0C" w:rsidRDefault="00000000">
      <w:pPr>
        <w:pStyle w:val="Heading1"/>
      </w:pPr>
      <w:r>
        <w:t>4.3 FFT Viability Test</w:t>
      </w:r>
    </w:p>
    <w:p w14:paraId="6713382D" w14:textId="77777777" w:rsidR="00102E0C" w:rsidRDefault="00000000">
      <w:r>
        <w:t>The FFT viability test used the same aligned and axis-calibrated magnitude signals. Before transformation, each magnitude series was mean-removed and windowed with a Hann window. The comparison was limited to 0-12.5 Hz, which matches the Nyquist limit of the original 25 Hz Thingy:91 acceleration stream.</w:t>
      </w:r>
    </w:p>
    <w:p w14:paraId="675EFD5F" w14:textId="77777777" w:rsidR="002E23D2" w:rsidRDefault="00000000">
      <w:r>
        <w:t>The frequency-domain result agrees with the time-domain result. FFT amplitude correlation was r = 0.952 with an amplitude RMSE of 0.00258 g over the 0-12.5 Hz band. The dominant mode occurred at approximately 4.50 Hz in the LORD spectrum and 4.46 Hz in the calibrated Thingy spectrum; both spectra also shared the secondary peak near 2.23 Hz. Smaller differences in low-amplitude peaks and the high-frequency floor remain, but the principal vibration content needed for feasibility analysis is retained.</w:t>
      </w:r>
    </w:p>
    <w:p w14:paraId="422B1C59" w14:textId="77777777" w:rsidR="002E23D2" w:rsidRDefault="00000000">
      <w:pPr>
        <w:spacing w:after="60"/>
        <w:jc w:val="center"/>
      </w:pPr>
      <w:r>
        <w:rPr>
          <w:noProof/>
        </w:rPr>
        <w:lastRenderedPageBreak/>
        <w:drawing>
          <wp:inline distT="0" distB="0" distL="0" distR="0" wp14:anchorId="0B5A34E2" wp14:editId="1EAB682B">
            <wp:extent cx="5715000" cy="2821511"/>
            <wp:effectExtent l="0" t="0" r="0" b="0"/>
            <wp:docPr id="1815190197" name="Picture 181519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is_calibrated_fft.png"/>
                    <pic:cNvPicPr/>
                  </pic:nvPicPr>
                  <pic:blipFill>
                    <a:blip r:embed="rId12"/>
                    <a:stretch>
                      <a:fillRect/>
                    </a:stretch>
                  </pic:blipFill>
                  <pic:spPr>
                    <a:xfrm>
                      <a:off x="0" y="0"/>
                      <a:ext cx="5715000" cy="2821511"/>
                    </a:xfrm>
                    <a:prstGeom prst="rect">
                      <a:avLst/>
                    </a:prstGeom>
                  </pic:spPr>
                </pic:pic>
              </a:graphicData>
            </a:graphic>
          </wp:inline>
        </w:drawing>
      </w:r>
    </w:p>
    <w:p w14:paraId="0AEB5F52" w14:textId="77777777" w:rsidR="002E23D2" w:rsidRDefault="00000000">
      <w:pPr>
        <w:pStyle w:val="Caption"/>
        <w:spacing w:before="0"/>
      </w:pPr>
      <w:r>
        <w:t>Figure 4.2. Frequency-domain validation of the calibrated magnitude signals. Mean-removed magnitudes were windowed with a Hann window before FFT comparison over 0-12.5 Hz.</w:t>
      </w:r>
    </w:p>
    <w:p w14:paraId="02B4903B" w14:textId="77777777" w:rsidR="00102E0C" w:rsidRDefault="00000000">
      <w:pPr>
        <w:pStyle w:val="Heading1"/>
      </w:pPr>
      <w:r>
        <w:t>4.4 Tilt Extraction Material</w:t>
      </w:r>
    </w:p>
    <w:p w14:paraId="640DC6D4" w14:textId="77777777" w:rsidR="00102E0C" w:rsidRDefault="00000000">
      <w:pPr>
        <w:spacing w:before="40" w:after="160"/>
        <w:jc w:val="center"/>
      </w:pPr>
      <w:r>
        <w:rPr>
          <w:noProof/>
        </w:rPr>
        <w:drawing>
          <wp:inline distT="0" distB="0" distL="0" distR="0" wp14:anchorId="30C7F797" wp14:editId="027217A7">
            <wp:extent cx="5806440" cy="3874007"/>
            <wp:effectExtent l="0" t="0" r="0" b="0"/>
            <wp:docPr id="1815190199" name="Picture 181519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lt_steps_latex.png"/>
                    <pic:cNvPicPr/>
                  </pic:nvPicPr>
                  <pic:blipFill>
                    <a:blip r:embed="rId13"/>
                    <a:stretch>
                      <a:fillRect/>
                    </a:stretch>
                  </pic:blipFill>
                  <pic:spPr>
                    <a:xfrm>
                      <a:off x="0" y="0"/>
                      <a:ext cx="5806440" cy="3874007"/>
                    </a:xfrm>
                    <a:prstGeom prst="rect">
                      <a:avLst/>
                    </a:prstGeom>
                  </pic:spPr>
                </pic:pic>
              </a:graphicData>
            </a:graphic>
          </wp:inline>
        </w:drawing>
      </w:r>
    </w:p>
    <w:p w14:paraId="7F9190F9" w14:textId="77777777" w:rsidR="00102E0C" w:rsidRDefault="00000000">
      <w:pPr>
        <w:pStyle w:val="Heading1"/>
        <w:pageBreakBefore/>
      </w:pPr>
      <w:r>
        <w:lastRenderedPageBreak/>
        <w:t>4.5 End-to-End Pipeline Evidence</w:t>
      </w:r>
    </w:p>
    <w:p w14:paraId="0E73AF20" w14:textId="77777777" w:rsidR="00102E0C" w:rsidRDefault="00000000">
      <w:pPr>
        <w:pStyle w:val="TemplatePlaceholder"/>
      </w:pPr>
      <w:r>
        <w:t>[Show firmware POST success, Supabase insertion, dashboard visibility, and exported analysis data.]</w:t>
      </w:r>
    </w:p>
    <w:tbl>
      <w:tblPr>
        <w:tblStyle w:val="TableGrid"/>
        <w:tblW w:w="9360" w:type="dxa"/>
        <w:tblLayout w:type="fixed"/>
        <w:tblLook w:val="04A0" w:firstRow="1" w:lastRow="0" w:firstColumn="1" w:lastColumn="0" w:noHBand="0" w:noVBand="1"/>
      </w:tblPr>
      <w:tblGrid>
        <w:gridCol w:w="2100"/>
        <w:gridCol w:w="2500"/>
        <w:gridCol w:w="3100"/>
        <w:gridCol w:w="1660"/>
      </w:tblGrid>
      <w:tr w:rsidR="00102E0C" w14:paraId="595A3E67" w14:textId="77777777">
        <w:tc>
          <w:tcPr>
            <w:tcW w:w="2100" w:type="dxa"/>
            <w:shd w:val="clear" w:color="auto" w:fill="EDEDED"/>
            <w:tcMar>
              <w:top w:w="40" w:type="dxa"/>
              <w:left w:w="60" w:type="dxa"/>
              <w:bottom w:w="40" w:type="dxa"/>
              <w:right w:w="60" w:type="dxa"/>
            </w:tcMar>
            <w:vAlign w:val="center"/>
          </w:tcPr>
          <w:p w14:paraId="07120C1C" w14:textId="77777777" w:rsidR="00102E0C" w:rsidRDefault="00000000">
            <w:pPr>
              <w:spacing w:after="0" w:line="240" w:lineRule="auto"/>
            </w:pPr>
            <w:r>
              <w:rPr>
                <w:b/>
                <w:sz w:val="17"/>
              </w:rPr>
              <w:t>Claim</w:t>
            </w:r>
          </w:p>
        </w:tc>
        <w:tc>
          <w:tcPr>
            <w:tcW w:w="2500" w:type="dxa"/>
            <w:shd w:val="clear" w:color="auto" w:fill="EDEDED"/>
            <w:tcMar>
              <w:top w:w="40" w:type="dxa"/>
              <w:left w:w="60" w:type="dxa"/>
              <w:bottom w:w="40" w:type="dxa"/>
              <w:right w:w="60" w:type="dxa"/>
            </w:tcMar>
            <w:vAlign w:val="center"/>
          </w:tcPr>
          <w:p w14:paraId="5A674B76" w14:textId="77777777" w:rsidR="00102E0C" w:rsidRDefault="00000000">
            <w:pPr>
              <w:spacing w:after="0" w:line="240" w:lineRule="auto"/>
            </w:pPr>
            <w:r>
              <w:rPr>
                <w:b/>
                <w:sz w:val="17"/>
              </w:rPr>
              <w:t>Success criterion</w:t>
            </w:r>
          </w:p>
        </w:tc>
        <w:tc>
          <w:tcPr>
            <w:tcW w:w="3100" w:type="dxa"/>
            <w:shd w:val="clear" w:color="auto" w:fill="EDEDED"/>
            <w:tcMar>
              <w:top w:w="40" w:type="dxa"/>
              <w:left w:w="60" w:type="dxa"/>
              <w:bottom w:w="40" w:type="dxa"/>
              <w:right w:w="60" w:type="dxa"/>
            </w:tcMar>
            <w:vAlign w:val="center"/>
          </w:tcPr>
          <w:p w14:paraId="47C6DE09" w14:textId="77777777" w:rsidR="00102E0C" w:rsidRDefault="00000000">
            <w:pPr>
              <w:spacing w:after="0" w:line="240" w:lineRule="auto"/>
            </w:pPr>
            <w:r>
              <w:rPr>
                <w:b/>
                <w:sz w:val="17"/>
              </w:rPr>
              <w:t>Evidence to insert</w:t>
            </w:r>
          </w:p>
        </w:tc>
        <w:tc>
          <w:tcPr>
            <w:tcW w:w="1660" w:type="dxa"/>
            <w:shd w:val="clear" w:color="auto" w:fill="EDEDED"/>
            <w:tcMar>
              <w:top w:w="40" w:type="dxa"/>
              <w:left w:w="60" w:type="dxa"/>
              <w:bottom w:w="40" w:type="dxa"/>
              <w:right w:w="60" w:type="dxa"/>
            </w:tcMar>
            <w:vAlign w:val="center"/>
          </w:tcPr>
          <w:p w14:paraId="3340D5E3" w14:textId="77777777" w:rsidR="00102E0C" w:rsidRDefault="00000000">
            <w:pPr>
              <w:spacing w:after="0" w:line="240" w:lineRule="auto"/>
            </w:pPr>
            <w:r>
              <w:rPr>
                <w:b/>
                <w:sz w:val="17"/>
              </w:rPr>
              <w:t>Status</w:t>
            </w:r>
          </w:p>
        </w:tc>
      </w:tr>
      <w:tr w:rsidR="00102E0C" w14:paraId="3AE51F3B" w14:textId="77777777">
        <w:tc>
          <w:tcPr>
            <w:tcW w:w="2100" w:type="dxa"/>
            <w:tcMar>
              <w:top w:w="40" w:type="dxa"/>
              <w:left w:w="60" w:type="dxa"/>
              <w:bottom w:w="40" w:type="dxa"/>
              <w:right w:w="60" w:type="dxa"/>
            </w:tcMar>
            <w:vAlign w:val="center"/>
          </w:tcPr>
          <w:p w14:paraId="7618E68F" w14:textId="77777777" w:rsidR="00102E0C" w:rsidRDefault="00000000">
            <w:pPr>
              <w:spacing w:after="0" w:line="240" w:lineRule="auto"/>
            </w:pPr>
            <w:r>
              <w:rPr>
                <w:sz w:val="17"/>
              </w:rPr>
              <w:t>Constant stream power</w:t>
            </w:r>
          </w:p>
        </w:tc>
        <w:tc>
          <w:tcPr>
            <w:tcW w:w="2500" w:type="dxa"/>
            <w:tcMar>
              <w:top w:w="40" w:type="dxa"/>
              <w:left w:w="60" w:type="dxa"/>
              <w:bottom w:w="40" w:type="dxa"/>
              <w:right w:w="60" w:type="dxa"/>
            </w:tcMar>
            <w:vAlign w:val="center"/>
          </w:tcPr>
          <w:p w14:paraId="3451E06E" w14:textId="77777777" w:rsidR="00102E0C" w:rsidRDefault="00000000">
            <w:pPr>
              <w:spacing w:after="0" w:line="240" w:lineRule="auto"/>
            </w:pPr>
            <w:r>
              <w:rPr>
                <w:sz w:val="17"/>
              </w:rPr>
              <w:t>[Define pass/fail]</w:t>
            </w:r>
          </w:p>
        </w:tc>
        <w:tc>
          <w:tcPr>
            <w:tcW w:w="3100" w:type="dxa"/>
            <w:tcMar>
              <w:top w:w="40" w:type="dxa"/>
              <w:left w:w="60" w:type="dxa"/>
              <w:bottom w:w="40" w:type="dxa"/>
              <w:right w:w="60" w:type="dxa"/>
            </w:tcMar>
            <w:vAlign w:val="center"/>
          </w:tcPr>
          <w:p w14:paraId="441BA5C4" w14:textId="77777777" w:rsidR="00102E0C" w:rsidRDefault="00000000">
            <w:pPr>
              <w:spacing w:after="0" w:line="240" w:lineRule="auto"/>
            </w:pPr>
            <w:r>
              <w:rPr>
                <w:sz w:val="17"/>
              </w:rPr>
              <w:t>[Power budget + solar margin + telemetry]</w:t>
            </w:r>
          </w:p>
        </w:tc>
        <w:tc>
          <w:tcPr>
            <w:tcW w:w="1660" w:type="dxa"/>
            <w:tcMar>
              <w:top w:w="40" w:type="dxa"/>
              <w:left w:w="60" w:type="dxa"/>
              <w:bottom w:w="40" w:type="dxa"/>
              <w:right w:w="60" w:type="dxa"/>
            </w:tcMar>
            <w:vAlign w:val="center"/>
          </w:tcPr>
          <w:p w14:paraId="73B326D1" w14:textId="77777777" w:rsidR="00102E0C" w:rsidRDefault="00000000">
            <w:r>
              <w:t>[Status]</w:t>
            </w:r>
          </w:p>
        </w:tc>
      </w:tr>
      <w:tr w:rsidR="00102E0C" w14:paraId="03C91C59" w14:textId="77777777">
        <w:tc>
          <w:tcPr>
            <w:tcW w:w="2100" w:type="dxa"/>
            <w:tcMar>
              <w:top w:w="40" w:type="dxa"/>
              <w:left w:w="60" w:type="dxa"/>
              <w:bottom w:w="40" w:type="dxa"/>
              <w:right w:w="60" w:type="dxa"/>
            </w:tcMar>
            <w:vAlign w:val="center"/>
          </w:tcPr>
          <w:p w14:paraId="02EBE54A" w14:textId="77777777" w:rsidR="00102E0C" w:rsidRDefault="00000000">
            <w:pPr>
              <w:spacing w:after="0" w:line="240" w:lineRule="auto"/>
            </w:pPr>
            <w:r>
              <w:rPr>
                <w:sz w:val="17"/>
              </w:rPr>
              <w:t>Accelerometer agreement</w:t>
            </w:r>
          </w:p>
        </w:tc>
        <w:tc>
          <w:tcPr>
            <w:tcW w:w="2500" w:type="dxa"/>
            <w:tcMar>
              <w:top w:w="40" w:type="dxa"/>
              <w:left w:w="60" w:type="dxa"/>
              <w:bottom w:w="40" w:type="dxa"/>
              <w:right w:w="60" w:type="dxa"/>
            </w:tcMar>
            <w:vAlign w:val="center"/>
          </w:tcPr>
          <w:p w14:paraId="2EC80CF8" w14:textId="77777777" w:rsidR="00102E0C" w:rsidRDefault="00000000">
            <w:pPr>
              <w:spacing w:after="0" w:line="240" w:lineRule="auto"/>
            </w:pPr>
            <w:r>
              <w:rPr>
                <w:sz w:val="17"/>
              </w:rPr>
              <w:t>[Define pass/fail]</w:t>
            </w:r>
          </w:p>
        </w:tc>
        <w:tc>
          <w:tcPr>
            <w:tcW w:w="3100" w:type="dxa"/>
            <w:tcMar>
              <w:top w:w="40" w:type="dxa"/>
              <w:left w:w="60" w:type="dxa"/>
              <w:bottom w:w="40" w:type="dxa"/>
              <w:right w:w="60" w:type="dxa"/>
            </w:tcMar>
            <w:vAlign w:val="center"/>
          </w:tcPr>
          <w:p w14:paraId="4BA64BB4" w14:textId="77777777" w:rsidR="00102E0C" w:rsidRDefault="00000000">
            <w:pPr>
              <w:spacing w:after="0" w:line="240" w:lineRule="auto"/>
            </w:pPr>
            <w:r>
              <w:rPr>
                <w:sz w:val="17"/>
              </w:rPr>
              <w:t>[Time-domain metrics]</w:t>
            </w:r>
          </w:p>
        </w:tc>
        <w:tc>
          <w:tcPr>
            <w:tcW w:w="1660" w:type="dxa"/>
            <w:tcMar>
              <w:top w:w="40" w:type="dxa"/>
              <w:left w:w="60" w:type="dxa"/>
              <w:bottom w:w="40" w:type="dxa"/>
              <w:right w:w="60" w:type="dxa"/>
            </w:tcMar>
            <w:vAlign w:val="center"/>
          </w:tcPr>
          <w:p w14:paraId="45B31F6B" w14:textId="77777777" w:rsidR="00102E0C" w:rsidRDefault="00000000">
            <w:r>
              <w:t>[Status]</w:t>
            </w:r>
          </w:p>
        </w:tc>
      </w:tr>
      <w:tr w:rsidR="00102E0C" w14:paraId="140ADB32" w14:textId="77777777">
        <w:tc>
          <w:tcPr>
            <w:tcW w:w="2100" w:type="dxa"/>
            <w:tcMar>
              <w:top w:w="40" w:type="dxa"/>
              <w:left w:w="60" w:type="dxa"/>
              <w:bottom w:w="40" w:type="dxa"/>
              <w:right w:w="60" w:type="dxa"/>
            </w:tcMar>
            <w:vAlign w:val="center"/>
          </w:tcPr>
          <w:p w14:paraId="555138F4" w14:textId="77777777" w:rsidR="00102E0C" w:rsidRDefault="00000000">
            <w:pPr>
              <w:spacing w:after="0" w:line="240" w:lineRule="auto"/>
            </w:pPr>
            <w:r>
              <w:rPr>
                <w:sz w:val="17"/>
              </w:rPr>
              <w:t>Frequency response</w:t>
            </w:r>
          </w:p>
        </w:tc>
        <w:tc>
          <w:tcPr>
            <w:tcW w:w="2500" w:type="dxa"/>
            <w:tcMar>
              <w:top w:w="40" w:type="dxa"/>
              <w:left w:w="60" w:type="dxa"/>
              <w:bottom w:w="40" w:type="dxa"/>
              <w:right w:w="60" w:type="dxa"/>
            </w:tcMar>
            <w:vAlign w:val="center"/>
          </w:tcPr>
          <w:p w14:paraId="2802D271" w14:textId="77777777" w:rsidR="00102E0C" w:rsidRDefault="00000000">
            <w:pPr>
              <w:spacing w:after="0" w:line="240" w:lineRule="auto"/>
            </w:pPr>
            <w:r>
              <w:rPr>
                <w:sz w:val="17"/>
              </w:rPr>
              <w:t>[Define pass/fail]</w:t>
            </w:r>
          </w:p>
        </w:tc>
        <w:tc>
          <w:tcPr>
            <w:tcW w:w="3100" w:type="dxa"/>
            <w:tcMar>
              <w:top w:w="40" w:type="dxa"/>
              <w:left w:w="60" w:type="dxa"/>
              <w:bottom w:w="40" w:type="dxa"/>
              <w:right w:w="60" w:type="dxa"/>
            </w:tcMar>
            <w:vAlign w:val="center"/>
          </w:tcPr>
          <w:p w14:paraId="0F4FFED0" w14:textId="77777777" w:rsidR="00102E0C" w:rsidRDefault="00000000">
            <w:pPr>
              <w:spacing w:after="0" w:line="240" w:lineRule="auto"/>
            </w:pPr>
            <w:r>
              <w:rPr>
                <w:sz w:val="17"/>
              </w:rPr>
              <w:t>[FFT comparison]</w:t>
            </w:r>
          </w:p>
        </w:tc>
        <w:tc>
          <w:tcPr>
            <w:tcW w:w="1660" w:type="dxa"/>
            <w:tcMar>
              <w:top w:w="40" w:type="dxa"/>
              <w:left w:w="60" w:type="dxa"/>
              <w:bottom w:w="40" w:type="dxa"/>
              <w:right w:w="60" w:type="dxa"/>
            </w:tcMar>
            <w:vAlign w:val="center"/>
          </w:tcPr>
          <w:p w14:paraId="0AEF292A" w14:textId="77777777" w:rsidR="00102E0C" w:rsidRDefault="00000000">
            <w:r>
              <w:t>[Status]</w:t>
            </w:r>
          </w:p>
        </w:tc>
      </w:tr>
      <w:tr w:rsidR="00102E0C" w14:paraId="2133789C" w14:textId="77777777">
        <w:tc>
          <w:tcPr>
            <w:tcW w:w="2100" w:type="dxa"/>
            <w:tcMar>
              <w:top w:w="40" w:type="dxa"/>
              <w:left w:w="60" w:type="dxa"/>
              <w:bottom w:w="40" w:type="dxa"/>
              <w:right w:w="60" w:type="dxa"/>
            </w:tcMar>
            <w:vAlign w:val="center"/>
          </w:tcPr>
          <w:p w14:paraId="7F87C3B5" w14:textId="77777777" w:rsidR="00102E0C" w:rsidRDefault="00000000">
            <w:pPr>
              <w:spacing w:after="0" w:line="240" w:lineRule="auto"/>
            </w:pPr>
            <w:r>
              <w:rPr>
                <w:sz w:val="17"/>
              </w:rPr>
              <w:t>Pipeline</w:t>
            </w:r>
          </w:p>
        </w:tc>
        <w:tc>
          <w:tcPr>
            <w:tcW w:w="2500" w:type="dxa"/>
            <w:tcMar>
              <w:top w:w="40" w:type="dxa"/>
              <w:left w:w="60" w:type="dxa"/>
              <w:bottom w:w="40" w:type="dxa"/>
              <w:right w:w="60" w:type="dxa"/>
            </w:tcMar>
            <w:vAlign w:val="center"/>
          </w:tcPr>
          <w:p w14:paraId="166BFFF3" w14:textId="77777777" w:rsidR="00102E0C" w:rsidRDefault="00000000">
            <w:pPr>
              <w:spacing w:after="0" w:line="240" w:lineRule="auto"/>
            </w:pPr>
            <w:r>
              <w:rPr>
                <w:sz w:val="17"/>
              </w:rPr>
              <w:t>[Define pass/fail]</w:t>
            </w:r>
          </w:p>
        </w:tc>
        <w:tc>
          <w:tcPr>
            <w:tcW w:w="3100" w:type="dxa"/>
            <w:tcMar>
              <w:top w:w="40" w:type="dxa"/>
              <w:left w:w="60" w:type="dxa"/>
              <w:bottom w:w="40" w:type="dxa"/>
              <w:right w:w="60" w:type="dxa"/>
            </w:tcMar>
            <w:vAlign w:val="center"/>
          </w:tcPr>
          <w:p w14:paraId="4846D73B" w14:textId="77777777" w:rsidR="00102E0C" w:rsidRDefault="00000000">
            <w:pPr>
              <w:spacing w:after="0" w:line="240" w:lineRule="auto"/>
            </w:pPr>
            <w:r>
              <w:rPr>
                <w:sz w:val="17"/>
              </w:rPr>
              <w:t>[HTTP 201, DB/dashboard evidence]</w:t>
            </w:r>
          </w:p>
        </w:tc>
        <w:tc>
          <w:tcPr>
            <w:tcW w:w="1660" w:type="dxa"/>
            <w:tcMar>
              <w:top w:w="40" w:type="dxa"/>
              <w:left w:w="60" w:type="dxa"/>
              <w:bottom w:w="40" w:type="dxa"/>
              <w:right w:w="60" w:type="dxa"/>
            </w:tcMar>
            <w:vAlign w:val="center"/>
          </w:tcPr>
          <w:p w14:paraId="60BBD6FC" w14:textId="77777777" w:rsidR="00102E0C" w:rsidRDefault="00000000">
            <w:r>
              <w:t>[Status]</w:t>
            </w:r>
          </w:p>
        </w:tc>
      </w:tr>
    </w:tbl>
    <w:p w14:paraId="4EA6C433" w14:textId="77777777" w:rsidR="00102E0C" w:rsidRDefault="00000000">
      <w:pPr>
        <w:pStyle w:val="Heading1"/>
      </w:pPr>
      <w:r>
        <w:t>5. Discussion</w:t>
      </w:r>
    </w:p>
    <w:p w14:paraId="6EC1B5F6" w14:textId="77777777" w:rsidR="00102E0C" w:rsidRDefault="00000000">
      <w:r>
        <w:t>The results shows that the prototype is feasible as a sensor-to-cloud system, but not deployment ready yet. The Thingy:91 X captured triaxial acceleration, posted 100-sample batches over LTE-M, and preserved the main behavior of the LORD reference signal: calibrated magnitude correlation was 0.955, magnitude RMSE was 0.040 g, and FFT correlation was 0.952 over 0-12.5 Hz. The power result is the main boundary. The current continuous-post firmware proves the pipeline, while the solar-assisted 10 Ah architecture points to the field design that should be tested after duty cycling is added.</w:t>
      </w:r>
    </w:p>
    <w:p w14:paraId="186E8B9E" w14:textId="77777777" w:rsidR="00102E0C" w:rsidRDefault="00000000">
      <w:pPr>
        <w:pStyle w:val="Heading2"/>
      </w:pPr>
      <w:r>
        <w:t>5.1 Limitations</w:t>
      </w:r>
    </w:p>
    <w:p w14:paraId="63EED96E" w14:textId="77777777" w:rsidR="00102E0C" w:rsidRDefault="00000000">
      <w:r>
        <w:t>The validation window was short and controlled, so the agreement should be treated as prototype evidence rather than a final accuracy claim. Mount stiffness, axis orientation, and calibration may change in a real tower installation. LTE coverage and solar exposure will also vary by site, and firmware telemetry still describes the Thingy internal battery/PMIC domain instead of the external 10 Ah buffer. These limits does not invalidate the result, but they define the next test conditions.</w:t>
      </w:r>
    </w:p>
    <w:p w14:paraId="5D18312B" w14:textId="77777777" w:rsidR="00102E0C" w:rsidRDefault="00000000">
      <w:pPr>
        <w:pStyle w:val="Heading2"/>
      </w:pPr>
      <w:r>
        <w:t>5.2 Future Work</w:t>
      </w:r>
    </w:p>
    <w:p w14:paraId="04232128" w14:textId="131D7F07" w:rsidR="00102E0C" w:rsidRDefault="00000000">
      <w:r>
        <w:t>Future work should keep the tested hardware platform and focus on firmware and field validation. The sensing node and external power architecture have been assembled and checked, so the next firmware step is duty-cycled sampling/upload, watchdog confirmation, and clearer recovery after failed POSTs. A multi-day outdoor soak should then verify the full system under real LTE, weather, and solar conditions by comparing data gaps, battery trend, LTE signal, and vibration spectra before PR tower deployment.</w:t>
      </w:r>
    </w:p>
    <w:p w14:paraId="52BBA989" w14:textId="77777777" w:rsidR="00102E0C" w:rsidRDefault="00000000">
      <w:pPr>
        <w:pStyle w:val="Heading1"/>
      </w:pPr>
      <w:r>
        <w:t>6. Conclusion</w:t>
      </w:r>
    </w:p>
    <w:p w14:paraId="0463DAD8" w14:textId="77777777" w:rsidR="00102E0C" w:rsidRDefault="00000000">
      <w:pPr/>
      <w:r>
        <w:t>This project demonstrates that a low-cost Thingy:91 X cellular accelerometer node can support prototype structural health monitoring. The tested hardware platform, LTE-M upload path, cloud pipeline, and reference-sensor comparison are strong enough to justify moving from bench validation to longer unattended outdoor testing. The system is not yet a production tower-monitoring deployment, but it has cleared the main feasibility question: the platform can collect useful vibration data, transmit it reliably enough for analysis, and operate within a solar-assisted architecture that is ready for duty-cycled field validation.</w:t>
      </w:r>
    </w:p>
    <w:p w14:paraId="05CF3D6E" w14:textId="77777777" w:rsidR="00102E0C" w:rsidRDefault="00000000">
      <w:pPr>
        <w:pStyle w:val="Heading1"/>
      </w:pPr>
      <w:r>
        <w:lastRenderedPageBreak/>
        <w:t>References</w:t>
      </w:r>
    </w:p>
    <w:p w14:paraId="7A7457D6" w14:textId="77777777" w:rsidR="00102E0C" w:rsidRDefault="00000000">
      <w:pPr>
        <w:pStyle w:val="TemplatePlaceholder"/>
      </w:pPr>
      <w:r>
        <w:t>[Add datasheets, Nordic Thingy:91 X documentation, ADXL367 datasheet, BQ24074/S7V8F5 docs, LORD/SensorConnect references, and any SHM background citations.]</w:t>
      </w:r>
    </w:p>
    <w:p w14:paraId="5C5A9364" w14:textId="77777777" w:rsidR="00102E0C" w:rsidRDefault="00000000">
      <w:pPr>
        <w:pStyle w:val="Heading1"/>
      </w:pPr>
      <w:r>
        <w:t>Appendix A. Hardware Specification</w:t>
      </w:r>
    </w:p>
    <w:p w14:paraId="19D55DB0" w14:textId="77777777" w:rsidR="00102E0C" w:rsidRDefault="00000000">
      <w:pPr>
        <w:pStyle w:val="TemplatePlaceholder"/>
      </w:pPr>
      <w:r>
        <w:t>[Paste or cite HARDWARE_SPEC.md and BOM.md.]</w:t>
      </w:r>
    </w:p>
    <w:p w14:paraId="2977F42B" w14:textId="77777777" w:rsidR="00102E0C" w:rsidRDefault="00000000">
      <w:pPr>
        <w:pStyle w:val="Heading1"/>
      </w:pPr>
      <w:r>
        <w:t>Appendix B. Firmware and Cloud Configuration</w:t>
      </w:r>
    </w:p>
    <w:p w14:paraId="79DED72E" w14:textId="77777777" w:rsidR="00102E0C" w:rsidRDefault="00000000">
      <w:pPr>
        <w:pStyle w:val="TemplatePlaceholder"/>
      </w:pPr>
      <w:r>
        <w:t>[Paste or cite FIRMWARE.md, ARCHITECTURE.md, schema, and endpoint notes.]</w:t>
      </w:r>
    </w:p>
    <w:p w14:paraId="74F1FD70" w14:textId="77777777" w:rsidR="00102E0C" w:rsidRDefault="00000000">
      <w:pPr>
        <w:pStyle w:val="Heading1"/>
      </w:pPr>
      <w:r>
        <w:t>Appendix C. Data Processing and Additional Plots</w:t>
      </w:r>
    </w:p>
    <w:p w14:paraId="0294A9F4" w14:textId="77777777" w:rsidR="00102E0C" w:rsidRDefault="00000000">
      <w:pPr>
        <w:pStyle w:val="TemplatePlaceholder"/>
      </w:pPr>
      <w:r>
        <w:t>[Include SensorConnect exports, calibration scripts, FFT plots, tilt derivation, and raw/processed metrics.]</w:t>
      </w:r>
    </w:p>
    <w:sectPr w:rsidR="00102E0C" w:rsidSect="00034616">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4A62D" w14:textId="77777777" w:rsidR="00B80BB1" w:rsidRDefault="00B80BB1">
      <w:pPr>
        <w:spacing w:after="0" w:line="240" w:lineRule="auto"/>
      </w:pPr>
      <w:r>
        <w:separator/>
      </w:r>
    </w:p>
  </w:endnote>
  <w:endnote w:type="continuationSeparator" w:id="0">
    <w:p w14:paraId="22B22566" w14:textId="77777777" w:rsidR="00B80BB1" w:rsidRDefault="00B80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0848" w14:textId="77777777" w:rsidR="00102E0C" w:rsidRDefault="00000000">
    <w:pPr>
      <w:pStyle w:val="SmallNote"/>
      <w:jc w:val="right"/>
    </w:pPr>
    <w:r>
      <w:t xml:space="preserve">Page </w:t>
    </w:r>
    <w:r>
      <w:fldChar w:fldCharType="begin"/>
    </w:r>
    <w:r>
      <w:instrText>PAGE</w:instrText>
    </w:r>
    <w:r>
      <w:fldChar w:fldCharType="separate"/>
    </w:r>
    <w:r w:rsidR="00331AE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86851" w14:textId="77777777" w:rsidR="00102E0C" w:rsidRDefault="00102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9BE9A" w14:textId="77777777" w:rsidR="00B80BB1" w:rsidRDefault="00B80BB1">
      <w:pPr>
        <w:spacing w:after="0" w:line="240" w:lineRule="auto"/>
      </w:pPr>
      <w:r>
        <w:separator/>
      </w:r>
    </w:p>
  </w:footnote>
  <w:footnote w:type="continuationSeparator" w:id="0">
    <w:p w14:paraId="0325B94E" w14:textId="77777777" w:rsidR="00B80BB1" w:rsidRDefault="00B80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4517" w14:textId="77777777" w:rsidR="00102E0C" w:rsidRDefault="00000000">
    <w:pPr>
      <w:pStyle w:val="SmallNote"/>
    </w:pPr>
    <w:r>
      <w:t>Final Project Report - PR-SHM Sensor Node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3788" w14:textId="77777777" w:rsidR="00102E0C" w:rsidRDefault="00102E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676637">
    <w:abstractNumId w:val="8"/>
  </w:num>
  <w:num w:numId="2" w16cid:durableId="1757743649">
    <w:abstractNumId w:val="6"/>
  </w:num>
  <w:num w:numId="3" w16cid:durableId="1964265560">
    <w:abstractNumId w:val="5"/>
  </w:num>
  <w:num w:numId="4" w16cid:durableId="827864460">
    <w:abstractNumId w:val="4"/>
  </w:num>
  <w:num w:numId="5" w16cid:durableId="1523861661">
    <w:abstractNumId w:val="7"/>
  </w:num>
  <w:num w:numId="6" w16cid:durableId="1228489181">
    <w:abstractNumId w:val="3"/>
  </w:num>
  <w:num w:numId="7" w16cid:durableId="2010059675">
    <w:abstractNumId w:val="2"/>
  </w:num>
  <w:num w:numId="8" w16cid:durableId="2142570217">
    <w:abstractNumId w:val="1"/>
  </w:num>
  <w:num w:numId="9" w16cid:durableId="44041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950"/>
    <w:rsid w:val="00102E0C"/>
    <w:rsid w:val="0015074B"/>
    <w:rsid w:val="00164618"/>
    <w:rsid w:val="001A562E"/>
    <w:rsid w:val="001D1721"/>
    <w:rsid w:val="0029639D"/>
    <w:rsid w:val="002E23D2"/>
    <w:rsid w:val="00326F90"/>
    <w:rsid w:val="00331AE1"/>
    <w:rsid w:val="003D4DE7"/>
    <w:rsid w:val="00495630"/>
    <w:rsid w:val="00572F36"/>
    <w:rsid w:val="006039B7"/>
    <w:rsid w:val="00651F4B"/>
    <w:rsid w:val="00736F22"/>
    <w:rsid w:val="007F61C4"/>
    <w:rsid w:val="009A6991"/>
    <w:rsid w:val="00AA1D8D"/>
    <w:rsid w:val="00AE50C4"/>
    <w:rsid w:val="00B47730"/>
    <w:rsid w:val="00B80BB1"/>
    <w:rsid w:val="00BB26A0"/>
    <w:rsid w:val="00CB0664"/>
    <w:rsid w:val="00E23B7A"/>
    <w:rsid w:val="00ED4E06"/>
    <w:rsid w:val="00F42FF3"/>
    <w:rsid w:val="00F67E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5C2F2"/>
  <w14:defaultImageDpi w14:val="300"/>
  <w15:docId w15:val="{D229C663-A15A-1C47-B9C5-801265DE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b/>
      <w:bCs/>
      <w:i/>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laceholder">
    <w:name w:val="Template Placeholder"/>
    <w:basedOn w:val="Normal"/>
    <w:pPr>
      <w:spacing w:after="160"/>
    </w:pPr>
    <w:rPr>
      <w:i/>
      <w:color w:val="646464"/>
    </w:rPr>
  </w:style>
  <w:style w:type="paragraph" w:customStyle="1" w:styleId="SmallNote">
    <w:name w:val="Small Note"/>
    <w:basedOn w:val="Normal"/>
    <w:pPr>
      <w:spacing w:after="80"/>
    </w:pPr>
    <w:rPr>
      <w:color w:val="5A5A5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2676</Words>
  <Characters>16676</Characters>
  <Application>Microsoft Office Word</Application>
  <DocSecurity>0</DocSecurity>
  <Lines>303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Template</dc:title>
  <dc:subject>PR-SHM sensor node final report</dc:subject>
  <dc:creator>Gabe Kafka-Gibbons</dc:creator>
  <cp:keywords/>
  <dc:description>generated by python-docx</dc:description>
  <cp:lastModifiedBy>Gabriel Kafka</cp:lastModifiedBy>
  <cp:revision>12</cp:revision>
  <dcterms:created xsi:type="dcterms:W3CDTF">2013-12-23T23:15:00Z</dcterms:created>
  <dcterms:modified xsi:type="dcterms:W3CDTF">2026-05-13T17:52:00Z</dcterms:modified>
  <cp:category/>
</cp:coreProperties>
</file>