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Style w:val="Heading1"/>
      </w:pPr>
      <w:r>
        <w:t>Table of Contents</w:t>
      </w:r>
    </w:p>
    <w:p w14:paraId="66B79991" w14:textId="77777777" w:rsidR="00102E0C" w:rsidRDefault="00000000">
      <w:r>
        <w:fldChar w:fldCharType="begin"/>
      </w:r>
      <w:r>
        <w:instrText>TOC \o "1-3" \h \z \u</w:instrText>
      </w:r>
      <w:r>
        <w:fldChar w:fldCharType="separate"/>
      </w:r>
      <w:r>
        <w:t>Right-click and update field after editing.</w:t>
      </w:r>
      <w:r>
        <w:fldChar w:fldCharType="end"/>
      </w:r>
    </w:p>
    <w:p w14:paraId="2C8B4038" w14:textId="77777777" w:rsidR="00102E0C" w:rsidRDefault="00000000">
      <w:r>
        <w:br w:type="page"/>
      </w:r>
    </w:p>
    <w:p w14:paraId="752B7770" w14:textId="77777777" w:rsidR="00102E0C" w:rsidRDefault="00000000">
      <w:pPr>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14:paraId="0986ED2B" w14:textId="77777777" w:rsidR="00102E0C" w:rsidRDefault="00000000">
      <w:r>
        <w:t>The assembled node completed a successful three-week outdoor deployment before tower installation. That result moves basic unattended outdoor operation from a future requirement to demonstrated prototype evidence under real weather, LTE, and solar exposure. The remaining power questions are tower-site solar exposure, enclosure effects, and direct external-buffer state-of-charge telemetry.</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This section consolidates the evidence that acceleration batches moved from the Thingy:91 X firmware through LTE-M upload, Supabase storage, dashboard visualization, and CSV/XLSX export for validation analysis.</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sz w:val="17"/>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sz w:val="17"/>
              </w:rPr>
              <w:t>Constant stream power</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sz w:val="17"/>
              </w:rPr>
              <w:t>Prototype must operate unattended long enough to justify tower-site testing; final field design should be duty-cycled and solar-positive.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sz w:val="17"/>
              </w:rPr>
              <w:t>Three-week outdoor deployment completed; existing power budget separates continuous-post behavior from the duty-cycled solar target; Thingy telemetry confirms internal battery/VBUS domain only.</w:t>
            </w:r>
          </w:p>
        </w:tc>
        <w:tc>
          <w:tcPr>
            <w:tcW w:w="1660" w:type="dxa"/>
            <w:tcMar>
              <w:top w:w="40" w:type="dxa"/>
              <w:left w:w="60" w:type="dxa"/>
              <w:bottom w:w="40" w:type="dxa"/>
              <w:right w:w="60" w:type="dxa"/>
            </w:tcMar>
            <w:vAlign w:val="center"/>
          </w:tcPr>
          <w:p w14:paraId="73B326D1" w14:textId="77777777" w:rsidR="00102E0C" w:rsidRDefault="00000000">
            <w:r>
              <w:t>Partial pass / refine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sz w:val="17"/>
              </w:rPr>
              <w:t>Calibrated magnitude agreement should preserve dominant motion and stay within prototype-level error bounds.</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sz w:val="17"/>
              </w:rPr>
              <w:t>3,900-sample aligned window; calibrated magnitude r = 0.955, RMSE = 0.040 g, bias = -0.0089 g.</w:t>
            </w:r>
          </w:p>
        </w:tc>
        <w:tc>
          <w:tcPr>
            <w:tcW w:w="1660" w:type="dxa"/>
            <w:tcMar>
              <w:top w:w="40" w:type="dxa"/>
              <w:left w:w="60" w:type="dxa"/>
              <w:bottom w:w="40" w:type="dxa"/>
              <w:right w:w="60" w:type="dxa"/>
            </w:tcMar>
            <w:vAlign w:val="center"/>
          </w:tcPr>
          <w:p w14:paraId="45B31F6B" w14:textId="77777777" w:rsidR="00102E0C" w:rsidRDefault="00000000">
            <w:r>
              <w:t>Pass for feasibility</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sz w:val="17"/>
              </w:rPr>
              <w:t>FFT comparison should retain the dominant vibration content over the 0-12.5 Hz validation band.</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sz w:val="17"/>
              </w:rPr>
              <w:t>FFT amplitude r = 0.952 over 0-12.5 Hz; dominant peak near 4.5 Hz and secondary peak near 2.23 Hz are retained.</w:t>
            </w:r>
          </w:p>
        </w:tc>
        <w:tc>
          <w:tcPr>
            <w:tcW w:w="1660" w:type="dxa"/>
            <w:tcMar>
              <w:top w:w="40" w:type="dxa"/>
              <w:left w:w="60" w:type="dxa"/>
              <w:bottom w:w="40" w:type="dxa"/>
              <w:right w:w="60" w:type="dxa"/>
            </w:tcMar>
            <w:vAlign w:val="center"/>
          </w:tcPr>
          <w:p w14:paraId="0AEF292A" w14:textId="77777777" w:rsidR="00102E0C" w:rsidRDefault="00000000">
            <w:r>
              <w:t>Pass for feasibility</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sz w:val="17"/>
              </w:rPr>
              <w:t>Firmware POSTs should reach Supabase successfully and remain visible for dashboard/export analysis.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sz w:val="17"/>
              </w:rPr>
              <w:t>Firmware logs show HTTP 201 responses; accel_batches rows feed the dashboard and exported datasets used for report figures.</w:t>
            </w:r>
          </w:p>
        </w:tc>
        <w:tc>
          <w:tcPr>
            <w:tcW w:w="1660" w:type="dxa"/>
            <w:tcMar>
              <w:top w:w="40" w:type="dxa"/>
              <w:left w:w="60" w:type="dxa"/>
              <w:bottom w:w="40" w:type="dxa"/>
              <w:right w:w="60" w:type="dxa"/>
            </w:tcMar>
            <w:vAlign w:val="center"/>
          </w:tcPr>
          <w:p w14:paraId="60BBD6FC" w14:textId="77777777" w:rsidR="00102E0C" w:rsidRDefault="00000000">
            <w:r>
              <w:t>Pass for prototype</w:t>
            </w:r>
          </w:p>
        </w:tc>
      </w:tr>
    </w:tbl>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r>
        <w:t>Preliminary source set for final citation formatting: Nordic Semiconductor Thingy:91 X documentation; Analog Devices ADXL367 datasheet; Adafruit BQ24074 charger documentation; Pololu S7V8F5 regulator specifications; Supabase/PostgREST documentation; LORD/SensorConnect reference material; and structural-health-monitoring background literature on vibration-based condition monitoring.</w:t>
      </w:r>
    </w:p>
    <w:p w14:paraId="5C5A9364" w14:textId="77777777" w:rsidR="00102E0C" w:rsidRDefault="00000000">
      <w:pPr>
        <w:pStyle w:val="Heading1"/>
      </w:pPr>
      <w:r>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