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11</w:t>
      </w:r>
    </w:p>
    <w:p>
      <w:pPr>
        <w:ind w:left="360"/>
        <w:tabs>
          <w:tab w:val="right" w:leader="dot" w:pos="9360"/>
        </w:tabs>
        <w:spacing w:before="0" w:after="0" w:line="220" w:lineRule="auto"/>
      </w:pPr>
      <w:r>
        <w:rPr>
          <w:sz w:val="20"/>
          <w:szCs w:val="20"/>
        </w:rPr>
        <w:t>4.4 Tilt Extraction Material</w:t>
      </w:r>
      <w:r>
        <w:tab/>
      </w:r>
      <w:r>
        <w:rPr>
          <w:sz w:val="20"/>
          <w:szCs w:val="20"/>
        </w:rPr>
        <w:t>12</w:t>
      </w:r>
    </w:p>
    <w:p>
      <w:pPr>
        <w:ind w:left="360"/>
        <w:tabs>
          <w:tab w:val="right" w:leader="dot" w:pos="9360"/>
        </w:tabs>
        <w:spacing w:before="0" w:after="0" w:line="220" w:lineRule="auto"/>
      </w:pPr>
      <w:r>
        <w:rPr>
          <w:sz w:val="20"/>
          <w:szCs w:val="20"/>
        </w:rPr>
        <w:t>4.5 End-to-End Pipeline Evidence</w:t>
      </w:r>
      <w:r>
        <w:tab/>
      </w:r>
      <w:r>
        <w:rPr>
          <w:sz w:val="20"/>
          <w:szCs w:val="20"/>
        </w:rPr>
        <w:t>13</w:t>
      </w:r>
    </w:p>
    <w:p>
      <w:pPr>
        <w:tabs>
          <w:tab w:val="right" w:leader="dot" w:pos="9360"/>
        </w:tabs>
        <w:spacing w:before="0" w:after="0" w:line="220" w:lineRule="auto"/>
      </w:pPr>
      <w:r>
        <w:rPr>
          <w:b/>
          <w:sz w:val="20"/>
          <w:szCs w:val="20"/>
        </w:rPr>
        <w:t>5. Discussion</w:t>
      </w:r>
      <w:r>
        <w:tab/>
      </w:r>
      <w:r>
        <w:rPr>
          <w:sz w:val="20"/>
          <w:szCs w:val="20"/>
        </w:rPr>
        <w:t>13</w:t>
      </w:r>
    </w:p>
    <w:p>
      <w:pPr>
        <w:ind w:left="360"/>
        <w:tabs>
          <w:tab w:val="right" w:leader="dot" w:pos="9360"/>
        </w:tabs>
        <w:spacing w:before="0" w:after="0" w:line="220" w:lineRule="auto"/>
      </w:pPr>
      <w:r>
        <w:rPr>
          <w:sz w:val="20"/>
          <w:szCs w:val="20"/>
        </w:rPr>
        <w:t>5.1 Limitations</w:t>
      </w:r>
      <w:r>
        <w:tab/>
      </w:r>
      <w:r>
        <w:rPr>
          <w:sz w:val="20"/>
          <w:szCs w:val="20"/>
        </w:rPr>
        <w:t>13</w:t>
      </w:r>
    </w:p>
    <w:p>
      <w:pPr>
        <w:ind w:left="360"/>
        <w:tabs>
          <w:tab w:val="right" w:leader="dot" w:pos="9360"/>
        </w:tabs>
        <w:spacing w:before="0" w:after="0" w:line="220" w:lineRule="auto"/>
      </w:pPr>
      <w:r>
        <w:rPr>
          <w:sz w:val="20"/>
          <w:szCs w:val="20"/>
        </w:rPr>
        <w:t>5.2 Future Work</w:t>
      </w:r>
      <w:r>
        <w:tab/>
      </w:r>
      <w:r>
        <w:rPr>
          <w:sz w:val="20"/>
          <w:szCs w:val="20"/>
        </w:rPr>
        <w:t>14</w:t>
      </w:r>
    </w:p>
    <w:p>
      <w:pPr>
        <w:tabs>
          <w:tab w:val="right" w:leader="dot" w:pos="9360"/>
        </w:tabs>
        <w:spacing w:before="0" w:after="0" w:line="220" w:lineRule="auto"/>
      </w:pPr>
      <w:r>
        <w:rPr>
          <w:b/>
          <w:sz w:val="20"/>
          <w:szCs w:val="20"/>
        </w:rPr>
        <w:t>6. Conclusion</w:t>
      </w:r>
      <w:r>
        <w:tab/>
      </w:r>
      <w:r>
        <w:rPr>
          <w:sz w:val="20"/>
          <w:szCs w:val="20"/>
        </w:rPr>
        <w:t>14</w:t>
      </w:r>
    </w:p>
    <w:p>
      <w:pPr>
        <w:tabs>
          <w:tab w:val="right" w:leader="dot" w:pos="9360"/>
        </w:tabs>
        <w:spacing w:before="0" w:after="0" w:line="220" w:lineRule="auto"/>
      </w:pPr>
      <w:r>
        <w:rPr>
          <w:b/>
          <w:sz w:val="20"/>
          <w:szCs w:val="20"/>
        </w:rPr>
        <w:t>References</w:t>
      </w:r>
      <w:r>
        <w:tab/>
      </w:r>
      <w:r>
        <w:rPr>
          <w:sz w:val="20"/>
          <w:szCs w:val="20"/>
        </w:rPr>
        <w:t>14</w:t>
      </w:r>
    </w:p>
    <w:p>
      <w:pPr>
        <w:tabs>
          <w:tab w:val="right" w:leader="dot" w:pos="9360"/>
        </w:tabs>
        <w:spacing w:before="0" w:after="0" w:line="220" w:lineRule="auto"/>
      </w:pPr>
      <w:r>
        <w:rPr>
          <w:b/>
          <w:sz w:val="20"/>
          <w:szCs w:val="20"/>
        </w:rPr>
        <w:t>Appendix A. Hardware Specification</w:t>
      </w:r>
      <w:r>
        <w:tab/>
      </w:r>
      <w:r>
        <w:rPr>
          <w:sz w:val="20"/>
          <w:szCs w:val="20"/>
        </w:rPr>
        <w:t>14</w:t>
      </w:r>
    </w:p>
    <w:p>
      <w:pPr>
        <w:tabs>
          <w:tab w:val="right" w:leader="dot" w:pos="9360"/>
        </w:tabs>
        <w:spacing w:before="0" w:after="0" w:line="220" w:lineRule="auto"/>
      </w:pPr>
      <w:r>
        <w:rPr>
          <w:b/>
          <w:sz w:val="20"/>
          <w:szCs w:val="20"/>
        </w:rPr>
        <w:t>Appendix B. Firmware and Cloud Configuration</w:t>
      </w:r>
      <w:r>
        <w:tab/>
      </w:r>
      <w:r>
        <w:rPr>
          <w:sz w:val="20"/>
          <w:szCs w:val="20"/>
        </w:rPr>
        <w:t>14</w:t>
      </w:r>
    </w:p>
    <w:p>
      <w:pPr>
        <w:tabs>
          <w:tab w:val="right" w:leader="dot" w:pos="9360"/>
        </w:tabs>
        <w:spacing w:before="0" w:after="0" w:line="220" w:lineRule="auto"/>
      </w:pPr>
      <w:r>
        <w:rPr>
          <w:b/>
          <w:sz w:val="20"/>
          <w:szCs w:val="20"/>
        </w:rPr>
        <w:t>Appendix C. Data Processing and Additional Plots</w:t>
      </w:r>
      <w:r>
        <w:tab/>
      </w:r>
      <w:r>
        <w:rPr>
          <w:sz w:val="20"/>
          <w:szCs w:val="20"/>
        </w:rPr>
        <w:t>15</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This section consolidates the evidence that acceleration batches moved from the Thingy:91 X firmware through LTE-M upload, Supabase storage, dashboard visualization, and CSV/XLSX export for validation analysis.</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sz w:val="17"/>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sz w:val="17"/>
              </w:rPr>
              <w:t>Prototype must operate unattended long enough to justify tower-site testing; final field design should be duty-cycled and solar-positive.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sz w:val="17"/>
              </w:rPr>
              <w:t>Three-week outdoor deployment completed; existing power budget separates continuous-post behavior from the duty-cycled solar target; Thingy telemetry confirms internal battery/VBUS domain only.</w:t>
            </w:r>
          </w:p>
        </w:tc>
        <w:tc>
          <w:tcPr>
            <w:tcW w:w="1660" w:type="dxa"/>
            <w:tcMar>
              <w:top w:w="40" w:type="dxa"/>
              <w:left w:w="60" w:type="dxa"/>
              <w:bottom w:w="40" w:type="dxa"/>
              <w:right w:w="60" w:type="dxa"/>
            </w:tcMar>
            <w:vAlign w:val="center"/>
          </w:tcPr>
          <w:p w14:paraId="73B326D1" w14:textId="77777777" w:rsidR="00102E0C" w:rsidRDefault="00000000">
            <w:r>
              <w:t>Partial pass / refine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sz w:val="17"/>
              </w:rPr>
              <w:t>Calibrated magnitude agreement should preserve dominant motion and stay within prototype-level error bounds.</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sz w:val="17"/>
              </w:rPr>
              <w:t>3,900-sample aligned window; calibrated magnitude r = 0.955, RMSE = 0.040 g, bias = -0.0089 g.</w:t>
            </w:r>
          </w:p>
        </w:tc>
        <w:tc>
          <w:tcPr>
            <w:tcW w:w="1660" w:type="dxa"/>
            <w:tcMar>
              <w:top w:w="40" w:type="dxa"/>
              <w:left w:w="60" w:type="dxa"/>
              <w:bottom w:w="40" w:type="dxa"/>
              <w:right w:w="60" w:type="dxa"/>
            </w:tcMar>
            <w:vAlign w:val="center"/>
          </w:tcPr>
          <w:p w14:paraId="45B31F6B" w14:textId="77777777" w:rsidR="00102E0C" w:rsidRDefault="00000000">
            <w:r>
              <w:t>Pass for feasibility</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sz w:val="17"/>
              </w:rPr>
              <w:t>FFT comparison should retain the dominant vibration content over the 0-12.5 Hz validation band.</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sz w:val="17"/>
              </w:rPr>
              <w:t>FFT amplitude r = 0.952 over 0-12.5 Hz; dominant peak near 4.5 Hz and secondary peak near 2.23 Hz are retained.</w:t>
            </w:r>
          </w:p>
        </w:tc>
        <w:tc>
          <w:tcPr>
            <w:tcW w:w="1660" w:type="dxa"/>
            <w:tcMar>
              <w:top w:w="40" w:type="dxa"/>
              <w:left w:w="60" w:type="dxa"/>
              <w:bottom w:w="40" w:type="dxa"/>
              <w:right w:w="60" w:type="dxa"/>
            </w:tcMar>
            <w:vAlign w:val="center"/>
          </w:tcPr>
          <w:p w14:paraId="0AEF292A" w14:textId="77777777" w:rsidR="00102E0C" w:rsidRDefault="00000000">
            <w:r>
              <w:t>Pass for feasibility</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sz w:val="17"/>
              </w:rPr>
              <w:t>Firmware POSTs should reach Supabase successfully and remain visible for dashboard/export analysis.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sz w:val="17"/>
              </w:rPr>
              <w:t>Firmware logs show HTTP 201 responses; accel_batches rows feed the dashboard and exported datasets used for report figures.</w:t>
            </w:r>
          </w:p>
        </w:tc>
        <w:tc>
          <w:tcPr>
            <w:tcW w:w="1660" w:type="dxa"/>
            <w:tcMar>
              <w:top w:w="40" w:type="dxa"/>
              <w:left w:w="60" w:type="dxa"/>
              <w:bottom w:w="40" w:type="dxa"/>
              <w:right w:w="60" w:type="dxa"/>
            </w:tcMar>
            <w:vAlign w:val="center"/>
          </w:tcPr>
          <w:p w14:paraId="60BBD6FC" w14:textId="77777777" w:rsidR="00102E0C" w:rsidRDefault="00000000">
            <w:r>
              <w:t>Pass for prototype</w:t>
            </w:r>
          </w:p>
        </w:tc>
      </w:tr>
    </w:tbl>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