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14</w:t>
      </w:r>
    </w:p>
    <w:p>
      <w:pPr>
        <w:ind w:left="360"/>
        <w:tabs>
          <w:tab w:val="right" w:leader="dot" w:pos="9360"/>
        </w:tabs>
        <w:spacing w:before="0" w:after="0" w:line="220" w:lineRule="auto"/>
      </w:pPr>
      <w:r>
        <w:rPr>
          <w:sz w:val="20"/>
          <w:szCs w:val="20"/>
        </w:rPr>
        <w:t>5.1 Limitations</w:t>
      </w:r>
      <w:r>
        <w:tab/>
      </w:r>
      <w:r>
        <w:rPr>
          <w:sz w:val="20"/>
          <w:szCs w:val="20"/>
        </w:rPr>
        <w:t>14</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15</w:t>
      </w:r>
    </w:p>
    <w:p>
      <w:pPr>
        <w:tabs>
          <w:tab w:val="right" w:leader="dot" w:pos="9360"/>
        </w:tabs>
        <w:spacing w:before="0" w:after="0" w:line="220" w:lineRule="auto"/>
      </w:pPr>
      <w:r>
        <w:rPr>
          <w:b/>
          <w:sz w:val="20"/>
          <w:szCs w:val="20"/>
        </w:rPr>
        <w:t>Appendix A. Hardware Specification</w:t>
      </w:r>
      <w:r>
        <w:tab/>
      </w:r>
      <w:r>
        <w:rPr>
          <w:sz w:val="20"/>
          <w:szCs w:val="20"/>
        </w:rPr>
        <w:t>15</w:t>
      </w:r>
    </w:p>
    <w:p>
      <w:pPr>
        <w:tabs>
          <w:tab w:val="right" w:leader="dot" w:pos="9360"/>
        </w:tabs>
        <w:spacing w:before="0" w:after="0" w:line="220" w:lineRule="auto"/>
      </w:pPr>
      <w:r>
        <w:rPr>
          <w:b/>
          <w:sz w:val="20"/>
          <w:szCs w:val="20"/>
        </w:rPr>
        <w:t>Appendix B. Firmware and Cloud Configuration</w:t>
      </w:r>
      <w:r>
        <w:tab/>
      </w:r>
      <w:r>
        <w:rPr>
          <w:sz w:val="20"/>
          <w:szCs w:val="20"/>
        </w:rPr>
        <w:t>15</w:t>
      </w:r>
    </w:p>
    <w:p>
      <w:pPr>
        <w:tabs>
          <w:tab w:val="right" w:leader="dot" w:pos="9360"/>
        </w:tabs>
        <w:spacing w:before="0" w:after="0" w:line="220" w:lineRule="auto"/>
      </w:pPr>
      <w:r>
        <w:rPr>
          <w:b/>
          <w:sz w:val="20"/>
          <w:szCs w:val="20"/>
        </w:rPr>
        <w:t>Appendix C. Data Processing and Additional Plots</w:t>
      </w:r>
      <w:r>
        <w:tab/>
      </w:r>
      <w:r>
        <w:rPr>
          <w:sz w:val="20"/>
          <w:szCs w:val="20"/>
        </w:rPr>
        <w:t>15</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 success. The firmware also retries once after LTE-M reconnect if a batch POST fails. Progress logs documented stable cycles of acceleration POST -&gt; HTTP 201, status POST -&gt; HTTP 201, and configuration fetch.</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rPr>
              <w:t>Pipeline stage</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rPr>
              <w:t>Evidence</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t>Firmware upload</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t>A full acceleration batch reaches the cloud and returns a success code.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t>transport_send_batch posts 100-sample x/y/z raw-count arrays plus battery_pct to /rest/v1/accel_batches; firmware accepts HTTP 201/200 and retries once after LTE reconnect.</w:t>
            </w:r>
          </w:p>
        </w:tc>
        <w:tc>
          <w:tcPr>
            <w:tcW w:w="1660" w:type="dxa"/>
            <w:tcMar>
              <w:top w:w="40" w:type="dxa"/>
              <w:left w:w="60" w:type="dxa"/>
              <w:bottom w:w="40" w:type="dxa"/>
              <w:right w:w="60" w:type="dxa"/>
            </w:tcMar>
            <w:vAlign w:val="center"/>
          </w:tcPr>
          <w:p w14:paraId="73B326D1" w14:textId="77777777" w:rsidR="00102E0C" w:rsidRDefault="00000000">
            <w:r>
              <w:rPr/>
              <w:t>Pass for prototype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t>Cloud storage and reconstruction</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t>Stored rows preserve raw triaxial data and can be expanded back into a sample stream.</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t>accel_batches stores compact batch rows; accel_samples_25hz unnests x/y/z arrays with 40 ms spacing and separates gaps longer than 15 seconds into new segments.</w:t>
            </w:r>
          </w:p>
        </w:tc>
        <w:tc>
          <w:tcPr>
            <w:tcW w:w="1660" w:type="dxa"/>
            <w:tcMar>
              <w:top w:w="40" w:type="dxa"/>
              <w:left w:w="60" w:type="dxa"/>
              <w:bottom w:w="40" w:type="dxa"/>
              <w:right w:w="60" w:type="dxa"/>
            </w:tcMar>
            <w:vAlign w:val="center"/>
          </w:tcPr>
          <w:p w14:paraId="45B31F6B" w14:textId="77777777" w:rsidR="00102E0C" w:rsidRDefault="00000000">
            <w:r>
              <w:rPr/>
              <w:t>Pass for analysis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t>Dashboard visibility</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t>Received data is visible without manual database inspection.</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t>The React dashboard queries accel_batches and the big_sample_summary RPC for time traces; node_status supplies internal battery current, VBUS presence, and charger-state context.</w:t>
            </w:r>
          </w:p>
        </w:tc>
        <w:tc>
          <w:tcPr>
            <w:tcW w:w="1660" w:type="dxa"/>
            <w:tcMar>
              <w:top w:w="40" w:type="dxa"/>
              <w:left w:w="60" w:type="dxa"/>
              <w:bottom w:w="40" w:type="dxa"/>
              <w:right w:w="60" w:type="dxa"/>
            </w:tcMar>
            <w:vAlign w:val="center"/>
          </w:tcPr>
          <w:p w14:paraId="0AEF292A" w14:textId="77777777" w:rsidR="00102E0C" w:rsidRDefault="00000000">
            <w:r>
              <w:rPr/>
              <w:t>Pass for prototype</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t>Export and validation use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t>The same data path supports downstream calibration and report figures.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t>CSV/XLSX exports from the Supabase/dashboard workflow produced the aligned datasets used for magnitude, residual, and FFT validation plots.</w:t>
            </w:r>
          </w:p>
        </w:tc>
        <w:tc>
          <w:tcPr>
            <w:tcW w:w="1660" w:type="dxa"/>
            <w:tcMar>
              <w:top w:w="40" w:type="dxa"/>
              <w:left w:w="60" w:type="dxa"/>
              <w:bottom w:w="40" w:type="dxa"/>
              <w:right w:w="60" w:type="dxa"/>
            </w:tcMar>
            <w:vAlign w:val="center"/>
          </w:tcPr>
          <w:p w14:paraId="60BBD6FC" w14:textId="77777777" w:rsidR="00102E0C" w:rsidRDefault="00000000">
            <w:r>
              <w:rPr/>
              <w:t>Pass for report evidence</w:t>
            </w:r>
          </w:p>
        </w:tc>
      </w:tr>
    </w:tbl>
    <w:p>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 sample_count, and dropped_samples fields. Adding those fields would let the database independently prove continuity across LTE interruptions.</w:t>
      </w:r>
    </w:p>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