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10</w:t>
      </w:r>
    </w:p>
    <w:p>
      <w:pPr>
        <w:ind w:left="360"/>
        <w:tabs>
          <w:tab w:val="right" w:leader="dot" w:pos="9360"/>
        </w:tabs>
        <w:spacing w:before="0" w:after="0" w:line="220" w:lineRule="auto"/>
      </w:pPr>
      <w:r>
        <w:rPr>
          <w:sz w:val="20"/>
          <w:szCs w:val="20"/>
        </w:rPr>
        <w:t>4.3 FFT Viability Test</w:t>
      </w:r>
      <w:r>
        <w:tab/>
      </w:r>
      <w:r>
        <w:rPr>
          <w:sz w:val="20"/>
          <w:szCs w:val="20"/>
        </w:rPr>
        <w:t>11</w:t>
      </w:r>
    </w:p>
    <w:p>
      <w:pPr>
        <w:ind w:left="360"/>
        <w:tabs>
          <w:tab w:val="right" w:leader="dot" w:pos="9360"/>
        </w:tabs>
        <w:spacing w:before="0" w:after="0" w:line="220" w:lineRule="auto"/>
      </w:pPr>
      <w:r>
        <w:rPr>
          <w:sz w:val="20"/>
          <w:szCs w:val="20"/>
        </w:rPr>
        <w:t>4.4 Tilt Extraction Material</w:t>
      </w:r>
      <w:r>
        <w:tab/>
      </w:r>
      <w:r>
        <w:rPr>
          <w:sz w:val="20"/>
          <w:szCs w:val="20"/>
        </w:rPr>
        <w:t>12</w:t>
      </w:r>
    </w:p>
    <w:p>
      <w:pPr>
        <w:ind w:left="360"/>
        <w:tabs>
          <w:tab w:val="right" w:leader="dot" w:pos="9360"/>
        </w:tabs>
        <w:spacing w:before="0" w:after="0" w:line="220" w:lineRule="auto"/>
      </w:pPr>
      <w:r>
        <w:rPr>
          <w:sz w:val="20"/>
          <w:szCs w:val="20"/>
        </w:rPr>
        <w:t>4.5 End-to-End Pipeline Evidence</w:t>
      </w:r>
      <w:r>
        <w:tab/>
      </w:r>
      <w:r>
        <w:rPr>
          <w:sz w:val="20"/>
          <w:szCs w:val="20"/>
        </w:rPr>
        <w:t>13</w:t>
      </w:r>
    </w:p>
    <w:p>
      <w:pPr>
        <w:tabs>
          <w:tab w:val="right" w:leader="dot" w:pos="9360"/>
        </w:tabs>
        <w:spacing w:before="0" w:after="0" w:line="220" w:lineRule="auto"/>
      </w:pPr>
      <w:r>
        <w:rPr>
          <w:b/>
          <w:sz w:val="20"/>
          <w:szCs w:val="20"/>
        </w:rPr>
        <w:t>5. Discussion</w:t>
      </w:r>
      <w:r>
        <w:tab/>
      </w:r>
      <w:r>
        <w:rPr>
          <w:sz w:val="20"/>
          <w:szCs w:val="20"/>
        </w:rPr>
        <w:t>14</w:t>
      </w:r>
    </w:p>
    <w:p>
      <w:pPr>
        <w:ind w:left="360"/>
        <w:tabs>
          <w:tab w:val="right" w:leader="dot" w:pos="9360"/>
        </w:tabs>
        <w:spacing w:before="0" w:after="0" w:line="220" w:lineRule="auto"/>
      </w:pPr>
      <w:r>
        <w:rPr>
          <w:sz w:val="20"/>
          <w:szCs w:val="20"/>
        </w:rPr>
        <w:t>5.1 Limitations</w:t>
      </w:r>
      <w:r>
        <w:tab/>
      </w:r>
      <w:r>
        <w:rPr>
          <w:sz w:val="20"/>
          <w:szCs w:val="20"/>
        </w:rPr>
        <w:t>14</w:t>
      </w:r>
    </w:p>
    <w:p>
      <w:pPr>
        <w:ind w:left="360"/>
        <w:tabs>
          <w:tab w:val="right" w:leader="dot" w:pos="9360"/>
        </w:tabs>
        <w:spacing w:before="0" w:after="0" w:line="220" w:lineRule="auto"/>
      </w:pPr>
      <w:r>
        <w:rPr>
          <w:sz w:val="20"/>
          <w:szCs w:val="20"/>
        </w:rPr>
        <w:t>5.2 Future Work</w:t>
      </w:r>
      <w:r>
        <w:tab/>
      </w:r>
      <w:r>
        <w:rPr>
          <w:sz w:val="20"/>
          <w:szCs w:val="20"/>
        </w:rPr>
        <w:t>14</w:t>
      </w:r>
    </w:p>
    <w:p>
      <w:pPr>
        <w:tabs>
          <w:tab w:val="right" w:leader="dot" w:pos="9360"/>
        </w:tabs>
        <w:spacing w:before="0" w:after="0" w:line="220" w:lineRule="auto"/>
      </w:pPr>
      <w:r>
        <w:rPr>
          <w:b/>
          <w:sz w:val="20"/>
          <w:szCs w:val="20"/>
        </w:rPr>
        <w:t>6. Conclusion</w:t>
      </w:r>
      <w:r>
        <w:tab/>
      </w:r>
      <w:r>
        <w:rPr>
          <w:sz w:val="20"/>
          <w:szCs w:val="20"/>
        </w:rPr>
        <w:t>14</w:t>
      </w:r>
    </w:p>
    <w:p>
      <w:pPr>
        <w:tabs>
          <w:tab w:val="right" w:leader="dot" w:pos="9360"/>
        </w:tabs>
        <w:spacing w:before="0" w:after="0" w:line="220" w:lineRule="auto"/>
      </w:pPr>
      <w:r>
        <w:rPr>
          <w:b/>
          <w:sz w:val="20"/>
          <w:szCs w:val="20"/>
        </w:rPr>
        <w:t>References</w:t>
      </w:r>
      <w:r>
        <w:tab/>
      </w:r>
      <w:r>
        <w:rPr>
          <w:sz w:val="20"/>
          <w:szCs w:val="20"/>
        </w:rPr>
        <w:t>15</w:t>
      </w:r>
    </w:p>
    <w:p>
      <w:pPr>
        <w:tabs>
          <w:tab w:val="right" w:leader="dot" w:pos="9360"/>
        </w:tabs>
        <w:spacing w:before="0" w:after="0" w:line="220" w:lineRule="auto"/>
      </w:pPr>
      <w:r>
        <w:rPr>
          <w:b/>
          <w:sz w:val="20"/>
          <w:szCs w:val="20"/>
        </w:rPr>
        <w:t>Appendix A. Hardware Specification</w:t>
      </w:r>
      <w:r>
        <w:tab/>
      </w:r>
      <w:r>
        <w:rPr>
          <w:sz w:val="20"/>
          <w:szCs w:val="20"/>
        </w:rPr>
        <w:t>15</w:t>
      </w:r>
    </w:p>
    <w:p>
      <w:pPr>
        <w:tabs>
          <w:tab w:val="right" w:leader="dot" w:pos="9360"/>
        </w:tabs>
        <w:spacing w:before="0" w:after="0" w:line="220" w:lineRule="auto"/>
      </w:pPr>
      <w:r>
        <w:rPr>
          <w:b/>
          <w:sz w:val="20"/>
          <w:szCs w:val="20"/>
        </w:rPr>
        <w:t>Appendix B. Firmware and Cloud Configuration</w:t>
      </w:r>
      <w:r>
        <w:tab/>
      </w:r>
      <w:r>
        <w:rPr>
          <w:sz w:val="20"/>
          <w:szCs w:val="20"/>
        </w:rPr>
        <w:t>15</w:t>
      </w:r>
    </w:p>
    <w:p>
      <w:pPr>
        <w:tabs>
          <w:tab w:val="right" w:leader="dot" w:pos="9360"/>
        </w:tabs>
        <w:spacing w:before="0" w:after="0" w:line="220" w:lineRule="auto"/>
      </w:pPr>
      <w:r>
        <w:rPr>
          <w:b/>
          <w:sz w:val="20"/>
          <w:szCs w:val="20"/>
        </w:rPr>
        <w:t>Appendix C. Data Processing and Additional Plots</w:t>
      </w:r>
      <w:r>
        <w:tab/>
      </w:r>
      <w:r>
        <w:rPr>
          <w:sz w:val="20"/>
          <w:szCs w:val="20"/>
        </w:rPr>
        <w:t>15</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2C4D9E11" w14:textId="77777777" w:rsidR="00102E0C" w:rsidRDefault="00000000">
      <w:r>
        <w:t xml:space="preserve">A deployed version of this dashboard is available at </w:t>
      </w:r>
      <w:hyperlink r:id="rId21" w:history="1">
        <w:r>
          <w:rPr>
            <w:rStyle w:val="Hyperlink"/>
            <w:color w:val="0563C1"/>
            <w:u w:val="single"/>
          </w:rPr>
          <w:t>https://accelerometer-frontend.vercel.app/</w:t>
        </w:r>
      </w:hyperlink>
      <w:r>
        <w:t>. It provides broad full-history and detail sample views for raw x/y/z acceleration, gravity-normalized acceleration, inclinometer outputs, and battery panels, using the same Supabase-backed data path rather than hand-entered report data.</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r>
        <w:t>The assembled node completed a successful three-week outdoor deployment before tower installation. That result moves basic unattended outdoor operation from a future requirement to demonstrated prototype evidence under real weather, LTE, and solar exposure. It does not by itself close the power question for Puerto Rico tower deployment, because tower sites may have different sun exposure, enclosure temperature, LTE signal quality, and mounting constraints.</w:t>
      </w:r>
    </w:p>
    <w:p>
      <w:r>
        <w:t>The long-term field argument comes from the duty-cycled power model. In the target operating schedule, the node sleeps for most of each hour, samples for a 10 minute window, processes briefly, and transmits once per hour. That model gives an average current of about 1.07 mA and daily consumption of about 95 mWh. With the 1350 mAh internal Thingy battery derated to 1080 mAh usable, the calculated internal-only autonomy is about 42 days. With the external 10 Ah buffer derated to 8 Ah usable, the calculated autonomy is about 311 days ideal, or about 249 days after an 80 percent conversion margin.</w:t>
      </w:r>
    </w:p>
    <w:p>
      <w:r>
        <w:t>The current continuous-post firmware is intentionally more demanding than the final field target. It keeps the raw stream and LTE upload path active with frequent 100-sample batch posts, 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r>
        <w:t>The solar balance is favorable once the firmware is duty-cycled. A 2 W panel with a conservative 70 percent charge and regulation efficiency provides an estimated net harvest of about 7.7 Wh/day under the planning solar model, while the duty-cycled node consumes about 0.095 Wh/day. That is an approximate 81x daily energy surplus before site-specific shading and weather losses. The remaining hardware limitation is telemetry: the firmware reports the Thingy internal battery and VBUS domain, so an external-buffer voltage or state-of-charge measurement should be added before interpreting remote battery trends as true external reserve.</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pPr>
        <w:spacing w:before="40" w:after="120"/>
      </w:pPr>
      <w:r>
        <w:t xml:space="preserve">Interactive time-series view: readers can inspect the aligned LORD and Thingy:91 magnitude traces in more detail at </w:t>
      </w:r>
      <w:hyperlink r:id="rId20">
        <w:r>
          <w:rPr>
            <w:color w:val="0563C1"/>
            <w:u w:val="single"/>
          </w:rPr>
          <w:t>https://accelerometer-viability-axis-calibr.vercel.app/</w:t>
        </w:r>
      </w:hyperlink>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The end-to-end pipeline proof has four parts: the firmware must post complete 100-sample acceleration batches, Supabase must store those batches with battery telemetry, the dashboard must reconstruct the sample stream for inspection, and the same stored data must be exportable for validation analysis. In the tested path, transport_send_batch builds JSON arrays for x, y, and z raw counts plus battery_pct, posts them to /rest/v1/accel_batches, and treats HTTP 201 or 200 as success. The firmware also retries once after LTE-M reconnect if a batch POST fails. Progress logs documented stable cycles of acceleration POST -&gt; HTTP 201, status POST -&gt; HTTP 201, and configuration fetch.</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rPr>
              <w:t>Pipeline stage</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rPr>
              <w:t>Evidence</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t>Firmware upload</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t>A full acceleration batch reaches the cloud and returns a success code.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t>100-sample + battery POST -&gt; HTTP 201/200; LTE retry.</w:t>
            </w:r>
          </w:p>
        </w:tc>
        <w:tc>
          <w:tcPr>
            <w:tcW w:w="1660" w:type="dxa"/>
            <w:tcMar>
              <w:top w:w="40" w:type="dxa"/>
              <w:left w:w="60" w:type="dxa"/>
              <w:bottom w:w="40" w:type="dxa"/>
              <w:right w:w="60" w:type="dxa"/>
            </w:tcMar>
            <w:vAlign w:val="center"/>
          </w:tcPr>
          <w:p w14:paraId="73B326D1" w14:textId="77777777" w:rsidR="00102E0C" w:rsidRDefault="00000000">
            <w:r>
              <w:rPr/>
              <w:t>Pass for prototype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t>Cloud storage and reconstruction</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t>Stored rows preserve raw triaxial data and can be expanded back into a sample stream.</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t>Raw arrays in accel_batches; 40 ms expansion; &gt;15 s gap segmentation.</w:t>
            </w:r>
          </w:p>
        </w:tc>
        <w:tc>
          <w:tcPr>
            <w:tcW w:w="1660" w:type="dxa"/>
            <w:tcMar>
              <w:top w:w="40" w:type="dxa"/>
              <w:left w:w="60" w:type="dxa"/>
              <w:bottom w:w="40" w:type="dxa"/>
              <w:right w:w="60" w:type="dxa"/>
            </w:tcMar>
            <w:vAlign w:val="center"/>
          </w:tcPr>
          <w:p w14:paraId="45B31F6B" w14:textId="77777777" w:rsidR="00102E0C" w:rsidRDefault="00000000">
            <w:r>
              <w:rPr/>
              <w:t>Pass for analysis</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t>Dashboard visibility</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t>Received data is visible without manual database inspection.</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t>Vercel broad/detail views read batch, summary, and status data.</w:t>
            </w:r>
          </w:p>
        </w:tc>
        <w:tc>
          <w:tcPr>
            <w:tcW w:w="1660" w:type="dxa"/>
            <w:tcMar>
              <w:top w:w="40" w:type="dxa"/>
              <w:left w:w="60" w:type="dxa"/>
              <w:bottom w:w="40" w:type="dxa"/>
              <w:right w:w="60" w:type="dxa"/>
            </w:tcMar>
            <w:vAlign w:val="center"/>
          </w:tcPr>
          <w:p w14:paraId="0AEF292A" w14:textId="77777777" w:rsidR="00102E0C" w:rsidRDefault="00000000">
            <w:r>
              <w:rPr/>
              <w:t>Pass for prototype</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t>Export and validation use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t>The same data path supports downstream calibration and report figures.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t>Exports produced the validation datasets.</w:t>
            </w:r>
          </w:p>
        </w:tc>
        <w:tc>
          <w:tcPr>
            <w:tcW w:w="1660" w:type="dxa"/>
            <w:tcMar>
              <w:top w:w="40" w:type="dxa"/>
              <w:left w:w="60" w:type="dxa"/>
              <w:bottom w:w="40" w:type="dxa"/>
              <w:right w:w="60" w:type="dxa"/>
            </w:tcMar>
            <w:vAlign w:val="center"/>
          </w:tcPr>
          <w:p w14:paraId="60BBD6FC" w14:textId="77777777" w:rsidR="00102E0C" w:rsidRDefault="00000000">
            <w:r>
              <w:rPr/>
              <w:t>Pass for report evidence</w:t>
            </w:r>
          </w:p>
        </w:tc>
      </w:tr>
    </w:tbl>
    <w:p>
      <w:pPr/>
      <w:r>
        <w:t>The remaining pipeline refinement is sample-continuity metadata. Runtime logs showed the RAM queue preserving samples during reconnects with dropped=0, but Supabase currently reconstructs sample time from upload order and timestamps rather than explicit batch_seq, sample_seq_start, sample_count, and dropped_samples fields. Adding those fields would let the database independently prove continuity across LTE interruptions.</w:t>
      </w:r>
    </w:p>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r>
        <w:t>Preliminary source set for final citation formatting: Nordic Semiconductor Thingy:91 X documentation; Analog Devices ADXL367 datasheet; Adafruit BQ24074 charger documentation; Pololu S7V8F5 regulator specifications; Supabase/PostgREST documentation; LORD/SensorConnect reference material; and structural-health-monitoring background literature on vibration-based condition monitoring.</w:t>
      </w:r>
    </w:p>
    <w:p w14:paraId="5C5A9364" w14:textId="77777777" w:rsidR="00102E0C" w:rsidRDefault="00000000">
      <w:pPr>
        <w:pStyle w:val="Heading1"/>
      </w:pPr>
      <w:r>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 Id="rId20" Type="http://schemas.openxmlformats.org/officeDocument/2006/relationships/hyperlink" Target="https://accelerometer-viability-axis-calibr.vercel.app/" TargetMode="External" /><Relationship Id="rId21" Type="http://schemas.openxmlformats.org/officeDocument/2006/relationships/hyperlink" Target="https://accelerometer-frontend.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