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ageBreakBefore/>
        <w:pStyle w:val="Heading1"/>
      </w:pPr>
      <w:r>
        <w:t>Table of Contents</w:t>
      </w:r>
    </w:p>
    <w:p>
      <w:pPr>
        <w:tabs>
          <w:tab w:val="right" w:leader="dot" w:pos="9360"/>
        </w:tabs>
        <w:spacing w:before="0" w:after="0" w:line="220" w:lineRule="auto"/>
      </w:pPr>
      <w:r>
        <w:rPr>
          <w:b/>
          <w:sz w:val="20"/>
          <w:szCs w:val="20"/>
        </w:rPr>
        <w:t>Abstract</w:t>
      </w:r>
      <w:r>
        <w:tab/>
      </w:r>
      <w:r>
        <w:rPr>
          <w:sz w:val="20"/>
          <w:szCs w:val="20"/>
        </w:rPr>
        <w:t>2</w:t>
      </w:r>
    </w:p>
    <w:p>
      <w:pPr>
        <w:tabs>
          <w:tab w:val="right" w:leader="dot" w:pos="9360"/>
        </w:tabs>
        <w:spacing w:before="0" w:after="0" w:line="220" w:lineRule="auto"/>
      </w:pPr>
      <w:r>
        <w:rPr>
          <w:b/>
          <w:sz w:val="20"/>
          <w:szCs w:val="20"/>
        </w:rPr>
        <w:t>1. Broader Objective</w:t>
      </w:r>
      <w:r>
        <w:tab/>
      </w:r>
      <w:r>
        <w:rPr>
          <w:sz w:val="20"/>
          <w:szCs w:val="20"/>
        </w:rPr>
        <w:t>4</w:t>
      </w:r>
    </w:p>
    <w:p>
      <w:pPr>
        <w:ind w:left="360"/>
        <w:tabs>
          <w:tab w:val="right" w:leader="dot" w:pos="9360"/>
        </w:tabs>
        <w:spacing w:before="0" w:after="0" w:line="220" w:lineRule="auto"/>
      </w:pPr>
      <w:r>
        <w:rPr>
          <w:sz w:val="20"/>
          <w:szCs w:val="20"/>
        </w:rPr>
        <w:t>1.1 Engineering Context</w:t>
      </w:r>
      <w:r>
        <w:tab/>
      </w:r>
      <w:r>
        <w:rPr>
          <w:sz w:val="20"/>
          <w:szCs w:val="20"/>
        </w:rPr>
        <w:t>4</w:t>
      </w:r>
    </w:p>
    <w:p>
      <w:pPr>
        <w:ind w:left="360"/>
        <w:tabs>
          <w:tab w:val="right" w:leader="dot" w:pos="9360"/>
        </w:tabs>
        <w:spacing w:before="0" w:after="0" w:line="220" w:lineRule="auto"/>
      </w:pPr>
      <w:r>
        <w:rPr>
          <w:sz w:val="20"/>
          <w:szCs w:val="20"/>
        </w:rPr>
        <w:t>1.2 Research Objective</w:t>
      </w:r>
      <w:r>
        <w:tab/>
      </w:r>
      <w:r>
        <w:rPr>
          <w:sz w:val="20"/>
          <w:szCs w:val="20"/>
        </w:rPr>
        <w:t>4</w:t>
      </w:r>
    </w:p>
    <w:p>
      <w:pPr>
        <w:ind w:left="360"/>
        <w:tabs>
          <w:tab w:val="right" w:leader="dot" w:pos="9360"/>
        </w:tabs>
        <w:spacing w:before="0" w:after="0" w:line="220" w:lineRule="auto"/>
      </w:pPr>
      <w:r>
        <w:rPr>
          <w:sz w:val="20"/>
          <w:szCs w:val="20"/>
        </w:rPr>
        <w:t>1.3 Scope of This Report</w:t>
      </w:r>
      <w:r>
        <w:tab/>
      </w:r>
      <w:r>
        <w:rPr>
          <w:sz w:val="20"/>
          <w:szCs w:val="20"/>
        </w:rPr>
        <w:t>5</w:t>
      </w:r>
    </w:p>
    <w:p>
      <w:pPr>
        <w:tabs>
          <w:tab w:val="right" w:leader="dot" w:pos="9360"/>
        </w:tabs>
        <w:spacing w:before="0" w:after="0" w:line="220" w:lineRule="auto"/>
      </w:pPr>
      <w:r>
        <w:rPr>
          <w:b/>
          <w:sz w:val="20"/>
          <w:szCs w:val="20"/>
        </w:rPr>
        <w:t>2. Specific Goals</w:t>
      </w:r>
      <w:r>
        <w:tab/>
      </w:r>
      <w:r>
        <w:rPr>
          <w:sz w:val="20"/>
          <w:szCs w:val="20"/>
        </w:rPr>
        <w:t>5</w:t>
      </w:r>
    </w:p>
    <w:p>
      <w:pPr>
        <w:ind w:left="360"/>
        <w:tabs>
          <w:tab w:val="right" w:leader="dot" w:pos="9360"/>
        </w:tabs>
        <w:spacing w:before="0" w:after="0" w:line="220" w:lineRule="auto"/>
      </w:pPr>
      <w:r>
        <w:rPr>
          <w:sz w:val="20"/>
          <w:szCs w:val="20"/>
        </w:rPr>
        <w:t>2.1 Goal Summary</w:t>
      </w:r>
      <w:r>
        <w:tab/>
      </w:r>
      <w:r>
        <w:rPr>
          <w:sz w:val="20"/>
          <w:szCs w:val="20"/>
        </w:rPr>
        <w:t>5</w:t>
      </w:r>
    </w:p>
    <w:p>
      <w:pPr>
        <w:tabs>
          <w:tab w:val="right" w:leader="dot" w:pos="9360"/>
        </w:tabs>
        <w:spacing w:before="0" w:after="0" w:line="220" w:lineRule="auto"/>
      </w:pPr>
      <w:r>
        <w:rPr>
          <w:b/>
          <w:sz w:val="20"/>
          <w:szCs w:val="20"/>
        </w:rPr>
        <w:t>3. Devices</w:t>
      </w:r>
      <w:r>
        <w:tab/>
      </w:r>
      <w:r>
        <w:rPr>
          <w:sz w:val="20"/>
          <w:szCs w:val="20"/>
        </w:rPr>
        <w:t>5</w:t>
      </w:r>
    </w:p>
    <w:p>
      <w:pPr>
        <w:ind w:left="360"/>
        <w:tabs>
          <w:tab w:val="right" w:leader="dot" w:pos="9360"/>
        </w:tabs>
        <w:spacing w:before="0" w:after="0" w:line="220" w:lineRule="auto"/>
      </w:pPr>
      <w:r>
        <w:rPr>
          <w:sz w:val="20"/>
          <w:szCs w:val="20"/>
        </w:rPr>
        <w:t>3.1 Hardware</w:t>
      </w:r>
      <w:r>
        <w:tab/>
      </w:r>
      <w:r>
        <w:rPr>
          <w:sz w:val="20"/>
          <w:szCs w:val="20"/>
        </w:rPr>
        <w:t>6</w:t>
      </w:r>
    </w:p>
    <w:p>
      <w:pPr>
        <w:ind w:left="360"/>
        <w:tabs>
          <w:tab w:val="right" w:leader="dot" w:pos="9360"/>
        </w:tabs>
        <w:spacing w:before="0" w:after="0" w:line="220" w:lineRule="auto"/>
      </w:pPr>
      <w:r>
        <w:rPr>
          <w:sz w:val="20"/>
          <w:szCs w:val="20"/>
        </w:rPr>
        <w:t>3.2 Firmware and Software</w:t>
      </w:r>
      <w:r>
        <w:tab/>
      </w:r>
      <w:r>
        <w:rPr>
          <w:sz w:val="20"/>
          <w:szCs w:val="20"/>
        </w:rPr>
        <w:t>7</w:t>
      </w:r>
    </w:p>
    <w:p>
      <w:pPr>
        <w:ind w:left="360"/>
        <w:tabs>
          <w:tab w:val="right" w:leader="dot" w:pos="9360"/>
        </w:tabs>
        <w:spacing w:before="0" w:after="0" w:line="220" w:lineRule="auto"/>
      </w:pPr>
      <w:r>
        <w:rPr>
          <w:sz w:val="20"/>
          <w:szCs w:val="20"/>
        </w:rPr>
        <w:t>3.3 Cloud Data Pipeline</w:t>
      </w:r>
      <w:r>
        <w:tab/>
      </w:r>
      <w:r>
        <w:rPr>
          <w:sz w:val="20"/>
          <w:szCs w:val="20"/>
        </w:rPr>
        <w:t>8</w:t>
      </w:r>
    </w:p>
    <w:p>
      <w:pPr>
        <w:tabs>
          <w:tab w:val="right" w:leader="dot" w:pos="9360"/>
        </w:tabs>
        <w:spacing w:before="0" w:after="0" w:line="220" w:lineRule="auto"/>
      </w:pPr>
      <w:r>
        <w:rPr>
          <w:b/>
          <w:sz w:val="20"/>
          <w:szCs w:val="20"/>
        </w:rPr>
        <w:t>4. Test Results and Success Criteria</w:t>
      </w:r>
      <w:r>
        <w:tab/>
      </w:r>
      <w:r>
        <w:rPr>
          <w:sz w:val="20"/>
          <w:szCs w:val="20"/>
        </w:rPr>
        <w:t>9</w:t>
      </w:r>
    </w:p>
    <w:p>
      <w:pPr>
        <w:ind w:left="360"/>
        <w:tabs>
          <w:tab w:val="right" w:leader="dot" w:pos="9360"/>
        </w:tabs>
        <w:spacing w:before="0" w:after="0" w:line="220" w:lineRule="auto"/>
      </w:pPr>
      <w:r>
        <w:rPr>
          <w:sz w:val="20"/>
          <w:szCs w:val="20"/>
        </w:rPr>
        <w:t>4.1 Constant-Stream Power and Solar Feasibility</w:t>
      </w:r>
      <w:r>
        <w:tab/>
      </w:r>
      <w:r>
        <w:rPr>
          <w:sz w:val="20"/>
          <w:szCs w:val="20"/>
        </w:rPr>
        <w:t>9</w:t>
      </w:r>
    </w:p>
    <w:p>
      <w:pPr>
        <w:ind w:left="360"/>
        <w:tabs>
          <w:tab w:val="right" w:leader="dot" w:pos="9360"/>
        </w:tabs>
        <w:spacing w:before="0" w:after="0" w:line="220" w:lineRule="auto"/>
      </w:pPr>
      <w:r>
        <w:rPr>
          <w:sz w:val="20"/>
          <w:szCs w:val="20"/>
        </w:rPr>
        <w:t>4.2 Accelerometer Viability Test</w:t>
      </w:r>
      <w:r>
        <w:tab/>
      </w:r>
      <w:r>
        <w:rPr>
          <w:sz w:val="20"/>
          <w:szCs w:val="20"/>
        </w:rPr>
        <w:t>10</w:t>
      </w:r>
    </w:p>
    <w:p>
      <w:pPr>
        <w:ind w:left="360"/>
        <w:tabs>
          <w:tab w:val="right" w:leader="dot" w:pos="9360"/>
        </w:tabs>
        <w:spacing w:before="0" w:after="0" w:line="220" w:lineRule="auto"/>
      </w:pPr>
      <w:r>
        <w:rPr>
          <w:sz w:val="20"/>
          <w:szCs w:val="20"/>
        </w:rPr>
        <w:t>4.3 FFT Viability Test</w:t>
      </w:r>
      <w:r>
        <w:tab/>
      </w:r>
      <w:r>
        <w:rPr>
          <w:sz w:val="20"/>
          <w:szCs w:val="20"/>
        </w:rPr>
        <w:t>12</w:t>
      </w:r>
    </w:p>
    <w:p>
      <w:pPr>
        <w:ind w:left="360"/>
        <w:tabs>
          <w:tab w:val="right" w:leader="dot" w:pos="9360"/>
        </w:tabs>
        <w:spacing w:before="0" w:after="0" w:line="220" w:lineRule="auto"/>
      </w:pPr>
      <w:r>
        <w:rPr>
          <w:sz w:val="20"/>
          <w:szCs w:val="20"/>
        </w:rPr>
        <w:t>4.4 Tilt Extraction Material</w:t>
      </w:r>
      <w:r>
        <w:tab/>
      </w:r>
      <w:r>
        <w:rPr>
          <w:sz w:val="20"/>
          <w:szCs w:val="20"/>
        </w:rPr>
        <w:t>13</w:t>
      </w:r>
    </w:p>
    <w:p>
      <w:pPr>
        <w:ind w:left="360"/>
        <w:tabs>
          <w:tab w:val="right" w:leader="dot" w:pos="9360"/>
        </w:tabs>
        <w:spacing w:before="0" w:after="0" w:line="220" w:lineRule="auto"/>
      </w:pPr>
      <w:r>
        <w:rPr>
          <w:sz w:val="20"/>
          <w:szCs w:val="20"/>
        </w:rPr>
        <w:t>4.5 End-to-End Pipeline Evidence</w:t>
      </w:r>
      <w:r>
        <w:tab/>
      </w:r>
      <w:r>
        <w:rPr>
          <w:sz w:val="20"/>
          <w:szCs w:val="20"/>
        </w:rPr>
        <w:t>14</w:t>
      </w:r>
    </w:p>
    <w:p>
      <w:pPr>
        <w:tabs>
          <w:tab w:val="right" w:leader="dot" w:pos="9360"/>
        </w:tabs>
        <w:spacing w:before="0" w:after="0" w:line="220" w:lineRule="auto"/>
      </w:pPr>
      <w:r>
        <w:rPr>
          <w:b/>
          <w:sz w:val="20"/>
          <w:szCs w:val="20"/>
        </w:rPr>
        <w:t>5. Discussion</w:t>
      </w:r>
      <w:r>
        <w:tab/>
      </w:r>
      <w:r>
        <w:rPr>
          <w:sz w:val="20"/>
          <w:szCs w:val="20"/>
        </w:rPr>
        <w:t>14</w:t>
      </w:r>
    </w:p>
    <w:p>
      <w:pPr>
        <w:ind w:left="360"/>
        <w:tabs>
          <w:tab w:val="right" w:leader="dot" w:pos="9360"/>
        </w:tabs>
        <w:spacing w:before="0" w:after="0" w:line="220" w:lineRule="auto"/>
      </w:pPr>
      <w:r>
        <w:rPr>
          <w:sz w:val="20"/>
          <w:szCs w:val="20"/>
        </w:rPr>
        <w:t>5.1 Limitations</w:t>
      </w:r>
      <w:r>
        <w:tab/>
      </w:r>
      <w:r>
        <w:rPr>
          <w:sz w:val="20"/>
          <w:szCs w:val="20"/>
        </w:rPr>
        <w:t>15</w:t>
      </w:r>
    </w:p>
    <w:p>
      <w:pPr>
        <w:ind w:left="360"/>
        <w:tabs>
          <w:tab w:val="right" w:leader="dot" w:pos="9360"/>
        </w:tabs>
        <w:spacing w:before="0" w:after="0" w:line="220" w:lineRule="auto"/>
      </w:pPr>
      <w:r>
        <w:rPr>
          <w:sz w:val="20"/>
          <w:szCs w:val="20"/>
        </w:rPr>
        <w:t>5.2 Future Work</w:t>
      </w:r>
      <w:r>
        <w:tab/>
      </w:r>
      <w:r>
        <w:rPr>
          <w:sz w:val="20"/>
          <w:szCs w:val="20"/>
        </w:rPr>
        <w:t>15</w:t>
      </w:r>
    </w:p>
    <w:p>
      <w:pPr>
        <w:tabs>
          <w:tab w:val="right" w:leader="dot" w:pos="9360"/>
        </w:tabs>
        <w:spacing w:before="0" w:after="0" w:line="220" w:lineRule="auto"/>
      </w:pPr>
      <w:r>
        <w:rPr>
          <w:b/>
          <w:sz w:val="20"/>
          <w:szCs w:val="20"/>
        </w:rPr>
        <w:t>6. Conclusion</w:t>
      </w:r>
      <w:r>
        <w:tab/>
      </w:r>
      <w:r>
        <w:rPr>
          <w:sz w:val="20"/>
          <w:szCs w:val="20"/>
        </w:rPr>
        <w:t>15</w:t>
      </w:r>
    </w:p>
    <w:p>
      <w:pPr>
        <w:tabs>
          <w:tab w:val="right" w:leader="dot" w:pos="9360"/>
        </w:tabs>
        <w:spacing w:before="0" w:after="0" w:line="220" w:lineRule="auto"/>
      </w:pPr>
      <w:r>
        <w:rPr>
          <w:b/>
          <w:sz w:val="20"/>
          <w:szCs w:val="20"/>
        </w:rPr>
        <w:t>References</w:t>
      </w:r>
      <w:r>
        <w:tab/>
      </w:r>
      <w:r>
        <w:rPr>
          <w:sz w:val="20"/>
          <w:szCs w:val="20"/>
        </w:rPr>
        <w:t>16</w:t>
      </w:r>
    </w:p>
    <w:p>
      <w:pPr>
        <w:tabs>
          <w:tab w:val="right" w:leader="dot" w:pos="9360"/>
        </w:tabs>
        <w:spacing w:before="0" w:after="0" w:line="220" w:lineRule="auto"/>
      </w:pPr>
      <w:r>
        <w:rPr>
          <w:b/>
          <w:sz w:val="20"/>
          <w:szCs w:val="20"/>
        </w:rPr>
        <w:t>Appendix A. Hardware Specification</w:t>
      </w:r>
      <w:r>
        <w:tab/>
      </w:r>
      <w:r>
        <w:rPr>
          <w:sz w:val="20"/>
          <w:szCs w:val="20"/>
        </w:rPr>
        <w:t>17</w:t>
      </w:r>
    </w:p>
    <w:p>
      <w:pPr>
        <w:tabs>
          <w:tab w:val="right" w:leader="dot" w:pos="9360"/>
        </w:tabs>
        <w:spacing w:before="0" w:after="0" w:line="220" w:lineRule="auto"/>
      </w:pPr>
      <w:r>
        <w:rPr>
          <w:b/>
          <w:sz w:val="20"/>
          <w:szCs w:val="20"/>
        </w:rPr>
        <w:t>Appendix B. Firmware and Cloud Configuration</w:t>
      </w:r>
      <w:r>
        <w:tab/>
      </w:r>
      <w:r>
        <w:rPr>
          <w:sz w:val="20"/>
          <w:szCs w:val="20"/>
        </w:rPr>
        <w:t>17</w:t>
      </w:r>
    </w:p>
    <w:p>
      <w:pPr>
        <w:tabs>
          <w:tab w:val="right" w:leader="dot" w:pos="9360"/>
        </w:tabs>
        <w:spacing w:before="0" w:after="0" w:line="220" w:lineRule="auto"/>
      </w:pPr>
      <w:r>
        <w:rPr>
          <w:b/>
          <w:sz w:val="20"/>
          <w:szCs w:val="20"/>
        </w:rPr>
        <w:t>Appendix C. Data Processing and Additional Plots</w:t>
      </w:r>
      <w:r>
        <w:tab/>
      </w:r>
      <w:r>
        <w:rPr>
          <w:sz w:val="20"/>
          <w:szCs w:val="20"/>
        </w:rPr>
        <w:t>17</w:t>
      </w:r>
    </w:p>
    <w:p w14:paraId="752B7770" w14:textId="77777777" w:rsidR="00102E0C" w:rsidRDefault="00000000">
      <w:pPr>
        <w:pageBreakBefore/>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[1], [2].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 [3], [4].</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 [3], [5]-[7].</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[4],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[8].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[4].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[9]-[11].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[10], [11].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2C4D9E11" w14:textId="77777777" w:rsidR="00102E0C" w:rsidRDefault="00000000">
      <w:r>
        <w:t xml:space="preserve">A deployed version of this dashboard is available at </w:t>
      </w:r>
      <w:hyperlink r:id="rId21" w:history="1">
        <w:r>
          <w:rPr>
            <w:rStyle w:val="Hyperlink"/>
            <w:color w:val="0563C1"/>
            <w:u w:val="single"/>
          </w:rPr>
          <w:t>https://accelerometer-frontend.vercel.app/</w:t>
        </w:r>
      </w:hyperlink>
      <w:r>
        <w:t>. It provides broad full-history and detail sample views for raw x/y/z acceleration, gravity-normalized acceleration, inclinometer outputs, and battery panels, using the same Supabase-backed data path rather than hand-entered report data [10].</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r>
        <w:t>The assembled node completed a successful three-week outdoor deployment before tower installation. That result moves basic unattended outdoor operation from a future requirement to demonstrated prototype evidence under real weather, LTE, and solar exposure. It does not by itself close the power question for Puerto Rico tower deployment, because tower sites may have different sun exposure, enclosure temperature, LTE signal quality, and mounting constraints.</w:t>
      </w:r>
    </w:p>
    <w:p>
      <w:r>
        <w:t>The long-term field argument comes from the duty-cycled power model. In the target operating schedule, the node sleeps for most of each hour, samples for a 10 minute window, processes briefly, and transmits once per hour. That model gives an average current of about 1.07 mA and daily consumption of about 95 mWh. With the 1350 mAh internal Thingy battery derated to 1080 mAh usable, the calculated internal-only autonomy is about 42 days. With the external 10 Ah buffer derated to 8 Ah usable, the calculated autonomy is about 311 days ideal, or about 249 days after an 80 percent conversion margin.</w:t>
      </w:r>
    </w:p>
    <w:p>
      <w:r>
        <w:t>The current continuous-post firmware is intentionally more demanding than the final field target. It keeps the raw stream and LTE upload path active with frequent 100-sample batch posts, which is useful for validation but not optimized for battery life. The continuous model is closer to 20 mA at 5 V, or about 2.4 Wh/day. Under that behavior, the external 10 Ah buffer would last roughly 12 days ideal, about 10 days with conversion margin, and the internal battery alone would last only about 2.3 days. This difference is why duty-cycled sampling and upload remain firmware requirements before tower deployment.</w:t>
      </w:r>
    </w:p>
    <w:p>
      <w:r>
        <w:t>The solar balance is favorable once the firmware is duty-cycled. A 2 W panel with a conservative 70 percent charge and regulation efficiency provides an estimated net harvest of about 7.7 Wh/day under the planning solar model, while the duty-cycled node consumes about 0.095 Wh/day. That is an approximate 81x daily energy surplus before site-specific shading and weather losses. The remaining hardware limitation is telemetry: the firmware reports the Thingy internal battery and VBUS domain, so an external-buffer voltage or state-of-charge measurement should be added before interpreting remote battery trends as true external reserve.</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with reference data exported through the SensorConnect workflow [12],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pPr>
        <w:spacing w:before="40" w:after="120"/>
      </w:pPr>
      <w:r>
        <w:t xml:space="preserve">Interactive time-series view: readers can inspect the aligned LORD and Thingy:91 magnitude traces in more detail at </w:t>
      </w:r>
      <w:hyperlink r:id="rId20">
        <w:r>
          <w:rPr>
            <w:color w:val="0563C1"/>
            <w:u w:val="single"/>
          </w:rPr>
          <w:t>https://accelerometer-viability-axis-calibr.vercel.app/</w:t>
        </w:r>
      </w:hyperlink>
    </w:p>
    <w:p>
      <w:r>
        <w:t>Figure 4.1b zooms into two parts of the same aligned record. The largest mismatch is concentrated at the sharpest impulse near 5.9 s; during early ring-down, the calibrated Thingy:91 trace follows the LORD timing and decay with smaller residuals.</w:t>
      </w:r>
    </w:p>
    <w:p>
      <w:pPr>
        <w:spacing w:before="40" w:after="60"/>
        <w:jc w:val="center"/>
      </w:pPr>
      <w:r>
        <w:rPr>
          <w:noProof/>
        </w:rPr>
        <w:drawing>
          <wp:inline distT="0" distB="0" distL="0" distR="0">
            <wp:extent cx="5715000" cy="3756054"/>
            <wp:effectExtent l="0" t="0" r="0" b="0"/>
            <wp:docPr id="221700001" name="Picture 221700001"/>
            <wp:cNvGraphicFramePr>
              <a:graphicFrameLocks noChangeAspect="1"/>
            </wp:cNvGraphicFramePr>
            <a:graphic>
              <a:graphicData uri="http://schemas.openxmlformats.org/drawingml/2006/picture">
                <pic:pic>
                  <pic:nvPicPr>
                    <pic:cNvPr id="0" name="axis_calibrated_magnitude_detail_windows.png"/>
                    <pic:cNvPicPr/>
                  </pic:nvPicPr>
                  <pic:blipFill>
                    <a:blip r:embed="rId22"/>
                    <a:stretch>
                      <a:fillRect/>
                    </a:stretch>
                  </pic:blipFill>
                  <pic:spPr>
                    <a:xfrm>
                      <a:off x="0" y="0"/>
                      <a:ext cx="5715000" cy="3756054"/>
                    </a:xfrm>
                    <a:prstGeom prst="rect">
                      <a:avLst/>
                    </a:prstGeom>
                  </pic:spPr>
                </pic:pic>
              </a:graphicData>
            </a:graphic>
          </wp:inline>
        </w:drawing>
      </w:r>
    </w:p>
    <w:p>
      <w:pPr>
        <w:pStyle w:val="Caption"/>
        <w:spacing w:before="0" w:after="120"/>
      </w:pPr>
      <w:r>
        <w:t>Figure 4.1b. Detail views of the time-domain magnitude agreement. The left panels isolate the impulsive peak and maximum residual; the right panels show early ring-down. Residual is Thingy:91 axis-calibrated magnitude minus LORD reference magnitude.</w:t>
      </w:r>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The end-to-end pipeline proof has four parts: the firmware must post complete 100-sample acceleration batches, Supabase must store those batches with battery telemetry, the dashboard must reconstruct the sample stream for inspection, and the same stored data must be exportable for validation analysis. In the tested path, transport_send_batch builds JSON arrays for x, y, and z raw counts plus battery_pct, posts them to /rest/v1/accel_batches, and treats HTTP 201 or 200 as success. The firmware also retries once after LTE-M reconnect if a batch POST fails. Progress logs documented stable cycles of acceleration POST -&gt; HTTP 201, status POST -&gt; HTTP 201, and configuration fetch.</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rPr>
              <w:t>Pipeline stage</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rPr>
              <w:t>Evidence</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t>Firmware upload</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t>A full acceleration batch reaches the cloud and returns a success code.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t>100-sample + battery POST -&gt; HTTP 201/200; LTE retry.</w:t>
            </w:r>
          </w:p>
        </w:tc>
        <w:tc>
          <w:tcPr>
            <w:tcW w:w="1660" w:type="dxa"/>
            <w:tcMar>
              <w:top w:w="40" w:type="dxa"/>
              <w:left w:w="60" w:type="dxa"/>
              <w:bottom w:w="40" w:type="dxa"/>
              <w:right w:w="60" w:type="dxa"/>
            </w:tcMar>
            <w:vAlign w:val="center"/>
          </w:tcPr>
          <w:p w14:paraId="73B326D1" w14:textId="77777777" w:rsidR="00102E0C" w:rsidRDefault="00000000">
            <w:r>
              <w:rPr/>
              <w:t>Pass for prototype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t>Cloud storage and reconstruction</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t>Stored rows preserve raw triaxial data and can be expanded back into a sample stream.</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t>Raw arrays in accel_batches; 40 ms expansion; &gt;15 s gap segmentation.</w:t>
            </w:r>
          </w:p>
        </w:tc>
        <w:tc>
          <w:tcPr>
            <w:tcW w:w="1660" w:type="dxa"/>
            <w:tcMar>
              <w:top w:w="40" w:type="dxa"/>
              <w:left w:w="60" w:type="dxa"/>
              <w:bottom w:w="40" w:type="dxa"/>
              <w:right w:w="60" w:type="dxa"/>
            </w:tcMar>
            <w:vAlign w:val="center"/>
          </w:tcPr>
          <w:p w14:paraId="45B31F6B" w14:textId="77777777" w:rsidR="00102E0C" w:rsidRDefault="00000000">
            <w:r>
              <w:rPr/>
              <w:t>Pass for analysis</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t>Dashboard visibility</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t>Received data is visible without manual database inspection.</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t>Vercel broad/detail views read batch, summary, and status data.</w:t>
            </w:r>
          </w:p>
        </w:tc>
        <w:tc>
          <w:tcPr>
            <w:tcW w:w="1660" w:type="dxa"/>
            <w:tcMar>
              <w:top w:w="40" w:type="dxa"/>
              <w:left w:w="60" w:type="dxa"/>
              <w:bottom w:w="40" w:type="dxa"/>
              <w:right w:w="60" w:type="dxa"/>
            </w:tcMar>
            <w:vAlign w:val="center"/>
          </w:tcPr>
          <w:p w14:paraId="0AEF292A" w14:textId="77777777" w:rsidR="00102E0C" w:rsidRDefault="00000000">
            <w:r>
              <w:rPr/>
              <w:t>Pass for prototype</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t>Export and validation use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t>The same data path supports downstream calibration and report figures.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t>Exports produced the validation datasets.</w:t>
            </w:r>
          </w:p>
        </w:tc>
        <w:tc>
          <w:tcPr>
            <w:tcW w:w="1660" w:type="dxa"/>
            <w:tcMar>
              <w:top w:w="40" w:type="dxa"/>
              <w:left w:w="60" w:type="dxa"/>
              <w:bottom w:w="40" w:type="dxa"/>
              <w:right w:w="60" w:type="dxa"/>
            </w:tcMar>
            <w:vAlign w:val="center"/>
          </w:tcPr>
          <w:p w14:paraId="60BBD6FC" w14:textId="77777777" w:rsidR="00102E0C" w:rsidRDefault="00000000">
            <w:r>
              <w:rPr/>
              <w:t>Pass for report evidence</w:t>
            </w:r>
          </w:p>
        </w:tc>
      </w:tr>
    </w:tbl>
    <w:p>
      <w:pPr/>
      <w:r>
        <w:t>The remaining pipeline refinement is sample-continuity metadata. Runtime logs showed the RAM queue preserving samples during reconnects with dropped=0, but Supabase currently reconstructs sample time from upload order and timestamps rather than explicit batch_seq, sample_seq_start, sample_count, and dropped_samples fields. Adding those fields would let the database independently prove continuity across LTE interruptions.</w:t>
      </w:r>
    </w:p>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br w:type="page"/>
        <w:t>References</w:t>
      </w:r>
    </w:p>
    <w:p>
      <w:pPr>
        <w:spacing w:after="80" w:line="220" w:lineRule="auto"/>
        <w:ind w:left="360" w:hanging="360"/>
      </w:pPr>
      <w:r>
        <w:t>[1] C. R. Farrar and K. Worden, "An introduction to structural health monitoring," Philosophical Transactions of the Royal Society A, vol. 365, no. 1851, pp. 303-315, 2007. doi: 10.1098/rsta.2006.1928.</w:t>
      </w:r>
    </w:p>
    <w:p>
      <w:pPr>
        <w:spacing w:after="80" w:line="220" w:lineRule="auto"/>
        <w:ind w:left="360" w:hanging="360"/>
      </w:pPr>
      <w:r>
        <w:t>[2] J. M. W. Brownjohn, "Structural health monitoring of civil infrastructure," Philosophical Transactions of the Royal Society A, vol. 365, no. 1851, pp. 589-622, 2007. doi: 10.1098/rsta.2006.1925.</w:t>
      </w:r>
    </w:p>
    <w:p>
      <w:pPr>
        <w:spacing w:after="80" w:line="220" w:lineRule="auto"/>
        <w:ind w:left="360" w:hanging="360"/>
      </w:pPr>
      <w:r>
        <w:t>[3] Nordic Semiconductor, "Nordic Thingy:91 X," product page/product brief. https://www.nordicsemi.com/Products/Development-hardware/Nordic-Thingy-91-X.</w:t>
      </w:r>
    </w:p>
    <w:p>
      <w:pPr>
        <w:spacing w:after="80" w:line="220" w:lineRule="auto"/>
        <w:ind w:left="360" w:hanging="360"/>
      </w:pPr>
      <w:r>
        <w:t>[4] Analog Devices, "ADXL367: Micropower, 3-Axis, +/-2 g/+/-4 g/+/-8 g Digital Output MEMS Accelerometer," data sheet. https://www.analog.com/media/en/technical-documentation/data-sheets/adxl367.pdf.</w:t>
      </w:r>
    </w:p>
    <w:p>
      <w:pPr>
        <w:spacing w:after="80" w:line="220" w:lineRule="auto"/>
        <w:ind w:left="360" w:hanging="360"/>
      </w:pPr>
      <w:r>
        <w:t>[5] Texas Instruments, "bq24072, bq24073, bq24074, bq24075, bq24079: Single-Chip Li-Ion and Li-Polymer Charge Management ICs With Power-Path Management," data sheet. https://www.ti.com/lit/ds/symlink/bq24074.pdf.</w:t>
      </w:r>
    </w:p>
    <w:p>
      <w:pPr>
        <w:spacing w:after="80" w:line="220" w:lineRule="auto"/>
        <w:ind w:left="360" w:hanging="360"/>
      </w:pPr>
      <w:r>
        <w:t>[6] Adafruit, "Adafruit bq24074 Universal USB/DC/Solar Charger Breakout," product guide. https://learn.adafruit.com/adafruit-bq24074-universal-usb-dc-solar-charger-breakout.</w:t>
      </w:r>
    </w:p>
    <w:p>
      <w:pPr>
        <w:spacing w:after="80" w:line="220" w:lineRule="auto"/>
        <w:ind w:left="360" w:hanging="360"/>
      </w:pPr>
      <w:r>
        <w:t>[7] Pololu, "5V Step-Up/Step-Down Voltage Regulator S7V8F5," specifications. https://www.pololu.com/product/2123/specs.</w:t>
      </w:r>
    </w:p>
    <w:p>
      <w:pPr>
        <w:spacing w:after="80" w:line="220" w:lineRule="auto"/>
        <w:ind w:left="360" w:hanging="360"/>
      </w:pPr>
      <w:r>
        <w:t>[8] Nordic Semiconductor, "nRF Connect SDK documentation," v2.9.0. https://docs.nordicsemi.com/bundle/ncs-2.9.0/page/nrf/index.html.</w:t>
      </w:r>
    </w:p>
    <w:p>
      <w:pPr>
        <w:spacing w:after="80" w:line="220" w:lineRule="auto"/>
        <w:ind w:left="360" w:hanging="360"/>
      </w:pPr>
      <w:r>
        <w:t>[9] Zephyr Project, "HTTP client," Zephyr Project documentation v3.7.0. https://docs.zephyrproject.org/3.7.0/connectivity/networking/api/http_client.html.</w:t>
      </w:r>
    </w:p>
    <w:p>
      <w:pPr>
        <w:spacing w:after="80" w:line="220" w:lineRule="auto"/>
        <w:ind w:left="360" w:hanging="360"/>
      </w:pPr>
      <w:r>
        <w:t>[10] Supabase, "Data APIs," Supabase documentation. https://supabase.com/docs/guides/api.</w:t>
      </w:r>
    </w:p>
    <w:p>
      <w:pPr>
        <w:spacing w:after="80" w:line="220" w:lineRule="auto"/>
        <w:ind w:left="360" w:hanging="360"/>
      </w:pPr>
      <w:r>
        <w:t>[11] PostgREST, "API Reference," PostgREST documentation. https://postgrest.org/en/stable/references/api.html.</w:t>
      </w:r>
    </w:p>
    <w:p>
      <w:pPr>
        <w:spacing w:after="80" w:line="220" w:lineRule="auto"/>
        <w:ind w:left="360" w:hanging="360"/>
      </w:pPr>
      <w:r>
        <w:t>[12] MicroStrain by HBK, "SensorConnect," software documentation/product page. https://www.microstrain.com/software/sensorconnect.</w:t>
      </w:r>
    </w:p>
    <w:p w14:paraId="5C5A9364" w14:textId="77777777" w:rsidR="00102E0C" w:rsidRDefault="00000000">
      <w:pPr>
        <w:pStyle w:val="Heading1"/>
      </w:pPr>
      <w:r>
        <w:br w:type="page"/>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 Id="rId20" Type="http://schemas.openxmlformats.org/officeDocument/2006/relationships/hyperlink" Target="https://accelerometer-viability-axis-calibr.vercel.app/" TargetMode="External" /><Relationship Id="rId21" Type="http://schemas.openxmlformats.org/officeDocument/2006/relationships/hyperlink" Target="https://accelerometer-frontend.vercel.app/" TargetMode="External" /><Relationship Id="rId22"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