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85C30" w14:textId="78D8C7B3" w:rsidR="00102E0C" w:rsidRDefault="00000000" w:rsidP="00331AE1">
      <w:pPr>
        <w:pStyle w:val="Title"/>
        <w:jc w:val="center"/>
      </w:pPr>
      <w:r>
        <w:t>Low-Cost Cellular Accelerometer Node for Structural Health Monitoring</w:t>
      </w:r>
    </w:p>
    <w:p w14:paraId="0FF594A7" w14:textId="77777777" w:rsidR="00102E0C" w:rsidRDefault="00000000">
      <w:pPr>
        <w:jc w:val="center"/>
      </w:pPr>
      <w:r>
        <w:t>Gabe Kafka-Gibbons</w:t>
      </w:r>
    </w:p>
    <w:p w14:paraId="5B547DC5" w14:textId="77777777" w:rsidR="00102E0C" w:rsidRDefault="00000000">
      <w:pPr>
        <w:jc w:val="center"/>
      </w:pPr>
      <w:r>
        <w:t>NYU Tandon School of Engineering</w:t>
      </w:r>
    </w:p>
    <w:p w14:paraId="5369C3C2" w14:textId="77777777" w:rsidR="00102E0C" w:rsidRDefault="00000000">
      <w:pPr>
        <w:jc w:val="center"/>
      </w:pPr>
      <w:r>
        <w:t>Advisor: Masoud Ghandehari</w:t>
      </w:r>
    </w:p>
    <w:p w14:paraId="1B87D779" w14:textId="77777777" w:rsidR="00102E0C" w:rsidRDefault="00000000">
      <w:pPr>
        <w:jc w:val="center"/>
      </w:pPr>
      <w:r>
        <w:t>Project context: Puerto Rico transmission tower structural health monitoring</w:t>
      </w:r>
    </w:p>
    <w:p w14:paraId="4562094F" w14:textId="77777777" w:rsidR="00102E0C" w:rsidRDefault="00000000">
      <w:pPr>
        <w:jc w:val="center"/>
      </w:pPr>
      <w:r>
        <w:t>Final report due: May 15, 2026</w:t>
      </w:r>
    </w:p>
    <w:p w14:paraId="5D0BF90F" w14:textId="77777777" w:rsidR="00102E0C" w:rsidRDefault="00000000">
      <w:pPr>
        <w:spacing w:before="720"/>
        <w:jc w:val="center"/>
      </w:pPr>
      <w:r>
        <w:rPr>
          <w:b/>
        </w:rPr>
        <w:t>Working thesis</w:t>
      </w:r>
    </w:p>
    <w:p w14:paraId="2F5E9ABA" w14:textId="3E741230" w:rsidR="00102E0C" w:rsidRDefault="00E23B7A">
      <w:pPr>
        <w:pStyle w:val="TemplatePlaceholder"/>
        <w:jc w:val="center"/>
      </w:pPr>
      <w:r>
        <w:t>The prototype demonstrates constant-stream sensing, cloud upload, and reference-sensor agreement, with solar/battery support for field operation.</w:t>
      </w:r>
    </w:p>
    <w:p w14:paraId="6B9A3F1E" w14:textId="5E94CC11" w:rsidR="007F61C4" w:rsidRDefault="007F61C4">
      <w:pPr>
        <w:pStyle w:val="TemplatePlaceholder"/>
        <w:jc w:val="center"/>
      </w:pPr>
    </w:p>
    <w:p w14:paraId="5B62A916" w14:textId="0EBA5145" w:rsidR="00102E0C" w:rsidRDefault="00000000">
      <w:r>
        <w:br w:type="page"/>
      </w:r>
    </w:p>
    <w:p w14:paraId="72FD90D3" w14:textId="77777777" w:rsidR="00102E0C" w:rsidRDefault="00000000">
      <w:pPr>
        <w:pStyle w:val="Heading1"/>
      </w:pPr>
      <w:r>
        <w:lastRenderedPageBreak/>
        <w:t>Abstract</w:t>
      </w:r>
    </w:p>
    <w:p w14:paraId="04A9D4B5" w14:textId="236087AC" w:rsidR="00102E0C" w:rsidRDefault="00000000">
      <w:r>
        <w:t xml:space="preserve">Transmission towers </w:t>
      </w:r>
      <w:r w:rsidR="00F42FF3">
        <w:t xml:space="preserve">in Puerto Rico </w:t>
      </w:r>
      <w:r>
        <w:t xml:space="preserve">are exposed to wind, corrosion, fatigue, and </w:t>
      </w:r>
      <w:r w:rsidR="00F42FF3">
        <w:t xml:space="preserve">notably </w:t>
      </w:r>
      <w:r>
        <w:t xml:space="preserve">hurricane loading, but post-event assessment </w:t>
      </w:r>
      <w:r w:rsidR="00F42FF3">
        <w:t xml:space="preserve">is </w:t>
      </w:r>
      <w:r>
        <w:t xml:space="preserve">often </w:t>
      </w:r>
      <w:r w:rsidR="00F42FF3">
        <w:t xml:space="preserve">limited to </w:t>
      </w:r>
      <w:r>
        <w:t>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principal remaining limitations are the short validation window, mounting and axis-alignment uncertainty, external-buffer state-of-charge telemetry, and the need for longer unattended field testing under realistic solar and LTE conditions.</w:t>
      </w:r>
    </w:p>
    <w:p w14:paraId="0251E65F" w14:textId="77777777" w:rsidR="00102E0C" w:rsidRDefault="00000000">
      <w:pPr>
        <w:pStyle w:val="Heading2"/>
      </w:pPr>
      <w:r>
        <w:t>Keywords</w:t>
      </w:r>
    </w:p>
    <w:p w14:paraId="1AFF69FC" w14:textId="77777777" w:rsidR="00102E0C" w:rsidRDefault="00000000">
      <w:pPr/>
      <w:r>
        <w:t>structural health monitoring; transmission towers; wireless sensing; cellular IoT; LTE-M; triaxial accelerometer; ADXL367; Nordic Thingy:91 X; solar-assisted power; Supabase; reference-sensor validation; FFT analysis</w:t>
      </w:r>
    </w:p>
    <w:p w14:paraId="5391A71D" w14:textId="77777777" w:rsidR="00102E0C" w:rsidRDefault="00000000">
      <w:pPr>
        <w:pStyle w:val="Heading1"/>
      </w:pPr>
      <w:r>
        <w:t>Table of Contents</w:t>
      </w:r>
    </w:p>
    <w:p w14:paraId="15C4E7B8" w14:textId="77777777" w:rsidR="00102E0C" w:rsidRDefault="00000000">
      <w:r>
        <w:fldChar w:fldCharType="begin"/>
      </w:r>
      <w:r>
        <w:instrText>TOC \o "1-3" \h \z \u</w:instrText>
      </w:r>
      <w:r>
        <w:fldChar w:fldCharType="separate"/>
      </w:r>
      <w:r>
        <w:t>Right-click and update field after editing.</w:t>
      </w:r>
      <w:r>
        <w:fldChar w:fldCharType="end"/>
      </w:r>
    </w:p>
    <w:p w14:paraId="3DFA2BB3" w14:textId="77777777" w:rsidR="00102E0C" w:rsidRDefault="00000000">
      <w:r>
        <w:br w:type="page"/>
      </w:r>
    </w:p>
    <w:p w14:paraId="416B5229" w14:textId="77777777" w:rsidR="00102E0C" w:rsidRDefault="00000000">
      <w:pPr>
        <w:pStyle w:val="Heading1"/>
      </w:pPr>
      <w:r>
        <w:lastRenderedPageBreak/>
        <w:t>1. Broader Objective</w:t>
      </w:r>
    </w:p>
    <w:p w14:paraId="4D3BCA75" w14:textId="77777777" w:rsidR="00102E0C" w:rsidRDefault="00000000">
      <w:pPr>
        <w:pStyle w:val="Heading2"/>
      </w:pPr>
      <w:r>
        <w:t>1.1 Engineering Context</w:t>
      </w:r>
    </w:p>
    <w:p w14:paraId="09D2C2FF" w14:textId="77777777" w:rsidR="00102E0C" w:rsidRDefault="00000000">
      <w:pPr/>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pPr/>
      <w:r>
        <w:t>Structural health monitoring addresses this gap by treating changes in measured dynamic response as evidence of possible changes in stiffness, looseness, connection condition, or boundary support.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pPr/>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w:t>
      </w:r>
    </w:p>
    <w:p w14:paraId="758F77F7" w14:textId="77777777" w:rsidR="00102E0C" w:rsidRDefault="00000000">
      <w:pPr>
        <w:pStyle w:val="Heading2"/>
      </w:pPr>
      <w:r>
        <w:t>1.2 Research Objective</w:t>
      </w:r>
    </w:p>
    <w:p w14:paraId="1BFA3BF0" w14:textId="77777777" w:rsidR="00102E0C" w:rsidRDefault="00000000">
      <w:pPr>
        <w:pStyle w:val="TemplatePlaceholder"/>
      </w:pPr>
      <w:r>
        <w:t>[State the broader research objective: prove that a low-cost cellular accelerometer node can collect useful vibration data and maintain a field-capable data path.]</w:t>
      </w:r>
    </w:p>
    <w:p w14:paraId="69DA2DBE" w14:textId="77777777" w:rsidR="00102E0C" w:rsidRDefault="00000000">
      <w:pPr>
        <w:pStyle w:val="Heading2"/>
      </w:pPr>
      <w:r>
        <w:t>1.3 Scope of This Report</w:t>
      </w:r>
    </w:p>
    <w:p w14:paraId="7219BDC5" w14:textId="77777777" w:rsidR="00102E0C" w:rsidRDefault="00000000">
      <w:pPr>
        <w:pStyle w:val="TemplatePlaceholder"/>
      </w:pPr>
      <w:r>
        <w:t>[Clarify that this is a proof-of-concept sensor node and validation study, not a complete deployed SHM network.]</w:t>
      </w:r>
    </w:p>
    <w:p w14:paraId="6092100C" w14:textId="77777777" w:rsidR="00102E0C" w:rsidRDefault="00000000">
      <w:pPr>
        <w:pStyle w:val="Heading1"/>
      </w:pPr>
      <w:r>
        <w:t>2. Specific Goals</w:t>
      </w:r>
    </w:p>
    <w:p w14:paraId="5E7E8256" w14:textId="77777777" w:rsidR="00102E0C" w:rsidRDefault="00000000">
      <w:pPr>
        <w:pStyle w:val="Heading2"/>
      </w:pPr>
      <w:r>
        <w:t>2.1 Goal Summary</w:t>
      </w:r>
    </w:p>
    <w:p w14:paraId="365AFF40" w14:textId="77777777" w:rsidR="00102E0C" w:rsidRDefault="00000000">
      <w:pPr>
        <w:pStyle w:val="TemplatePlaceholder"/>
      </w:pPr>
      <w:r>
        <w:t>[List the measurable goals: sensing node, constant data stream, LTE/cloud pipeline, battery/solar feasibility, reference-sensor validation, and deployment envelope.]</w:t>
      </w:r>
    </w:p>
    <w:p w14:paraId="5BFF0434" w14:textId="77777777" w:rsidR="00102E0C" w:rsidRDefault="00000000">
      <w:pPr>
        <w:pStyle w:val="Heading1"/>
      </w:pPr>
      <w:r>
        <w:t>3. Devices</w:t>
      </w:r>
    </w:p>
    <w:p w14:paraId="61512371" w14:textId="77777777" w:rsidR="00102E0C" w:rsidRDefault="00000000">
      <w:pPr>
        <w:pStyle w:val="TemplatePlaceholder"/>
      </w:pPr>
      <w:r>
        <w:t>[Introduce the physical and software system. Keep this section descriptive and specific: what was built, what each part does, and what evidence proves it worked.]</w:t>
      </w:r>
    </w:p>
    <w:p w14:paraId="00C99D1E" w14:textId="77777777" w:rsidR="00102E0C" w:rsidRDefault="00000000">
      <w:pPr>
        <w:pStyle w:val="Heading2"/>
      </w:pPr>
      <w:r>
        <w:t>3.1 Hardware</w:t>
      </w:r>
    </w:p>
    <w:p w14:paraId="519D2D10" w14:textId="77777777" w:rsidR="00102E0C" w:rsidRDefault="00000000">
      <w:pPr>
        <w:pStyle w:val="TemplatePlaceholder"/>
      </w:pPr>
      <w:r>
        <w:t>[Open with one paragraph that names the hardware domains: solar power front end, Thingy:91 X local hardware, sensing, LTE-M/cloud handoff, and telemetry boundary.]</w:t>
      </w:r>
    </w:p>
    <w:p w14:paraId="15D69C41" w14:textId="77777777" w:rsidR="00102E0C" w:rsidRDefault="00000000">
      <w:pPr>
        <w:jc w:val="center"/>
      </w:pPr>
      <w:r>
        <w:rPr>
          <w:noProof/>
        </w:rPr>
        <w:lastRenderedPageBreak/>
        <w:drawing>
          <wp:inline distT="0" distB="0" distL="0" distR="0" wp14:anchorId="3E1A8DF9" wp14:editId="1BC553CA">
            <wp:extent cx="5943600" cy="4636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65351598" w14:textId="77777777" w:rsidR="00102E0C" w:rsidRDefault="00000000">
      <w:pPr>
        <w:pStyle w:val="Caption"/>
        <w:jc w:val="center"/>
      </w:pPr>
      <w:r>
        <w:t>Figure 3.1. Solar-assisted hardware architecture for the PR-SHM sensor node. The BQ24074 manages solar charging and the external LiPo buffer; the S7V8F5 provides the regulated 5.0 V USB-C input to the Thingy:91 X. Firmware telemetry describes the Thingy internal battery/PMIC domain, not the external 10 Ah buffer state of charge.</w:t>
      </w:r>
    </w:p>
    <w:p w14:paraId="408A59F6" w14:textId="77777777" w:rsidR="00102E0C" w:rsidRDefault="00000000">
      <w:r>
        <w:t>Editable source: public/diagrams/final-hardware-architecture.drawio. SVG export: public/diagrams/final-hardware-architecture.svg.</w:t>
      </w:r>
    </w:p>
    <w:p w14:paraId="16AA01DE" w14:textId="77777777" w:rsidR="00102E0C" w:rsidRDefault="00000000">
      <w:pPr>
        <w:pStyle w:val="TemplatePlaceholder"/>
      </w:pPr>
      <w:r>
        <w:t>[Hardware component write-up placeholder: summarize the Thingy:91 X, ADXL367, nRF9151, nPM1300, solar panel, BQ24074 charger, external LiPo buffer, S7V8F5 regulator, USB-C lead, mount/enclosure plan, and LORD S-200 reference.]</w:t>
      </w:r>
    </w:p>
    <w:p w14:paraId="131670C7" w14:textId="77777777" w:rsidR="00102E0C" w:rsidRDefault="00000000">
      <w:pPr>
        <w:pStyle w:val="Heading2"/>
      </w:pPr>
      <w:r>
        <w:t>3.2 Firmware and Software</w:t>
      </w:r>
    </w:p>
    <w:p w14:paraId="5EF12E93" w14:textId="77777777" w:rsidR="00102E0C" w:rsidRDefault="00000000">
      <w:pPr>
        <w:pStyle w:val="TemplatePlaceholder"/>
      </w:pPr>
      <w:r>
        <w:t>[Describe the current intended field behavior: continuous ADXL367 FIFO sampling, 100-sample batches, battery telemetry, HTTPS POST to Supabase, and LTE reconnect/retry after POST failure. Do not frame duty cycling as required.]</w:t>
      </w:r>
    </w:p>
    <w:p w14:paraId="6594A4A7" w14:textId="77777777" w:rsidR="00102E0C" w:rsidRDefault="00000000">
      <w:pPr>
        <w:pStyle w:val="Heading2"/>
      </w:pPr>
      <w:r>
        <w:lastRenderedPageBreak/>
        <w:t>3.3 Cloud Data Pipeline</w:t>
      </w:r>
    </w:p>
    <w:p w14:paraId="127D800D" w14:textId="77777777" w:rsidR="00102E0C" w:rsidRDefault="00000000">
      <w:pPr>
        <w:pStyle w:val="TemplatePlaceholder"/>
      </w:pPr>
      <w:r>
        <w:t>[Describe Supabase/PostgREST receiving, database rows/batches, dashboard visualization, and how data is exported for analysis.]</w:t>
      </w:r>
    </w:p>
    <w:p w14:paraId="73A61CFB" w14:textId="77777777" w:rsidR="00102E0C" w:rsidRDefault="00000000">
      <w:pPr>
        <w:pStyle w:val="Heading1"/>
      </w:pPr>
      <w:r>
        <w:t>4. Test Results and Success Criteria</w:t>
      </w:r>
    </w:p>
    <w:p w14:paraId="46B2B41B" w14:textId="77777777" w:rsidR="00102E0C" w:rsidRDefault="00000000">
      <w:pPr>
        <w:pStyle w:val="TemplatePlaceholder"/>
      </w:pPr>
      <w:r>
        <w:t>[Lead with the proof claims, not a chronological build diary. Each subsection should state the test, the metric, the result, and the limitation.]</w:t>
      </w:r>
    </w:p>
    <w:p w14:paraId="50B45171" w14:textId="77777777" w:rsidR="00102E0C" w:rsidRDefault="00000000">
      <w:pPr>
        <w:pStyle w:val="Heading1"/>
      </w:pPr>
      <w:r>
        <w:t>4.1 Constant-Stream Power and Solar Feasibility</w:t>
      </w:r>
    </w:p>
    <w:p w14:paraId="30A52987" w14:textId="77777777" w:rsidR="00102E0C" w:rsidRDefault="00000000">
      <w:pPr>
        <w:pStyle w:val="TemplatePlaceholder"/>
      </w:pPr>
      <w:r>
        <w:t>[Use POWER_BUDGET.md. Show daily energy load, external-buffer autonomy, solar harvest margin, and observed battery telemetry. Make the claim that the constant stream is supportable if the budget assumptions hold.]</w:t>
      </w:r>
    </w:p>
    <w:p w14:paraId="4B36F2D7" w14:textId="77777777" w:rsidR="00102E0C" w:rsidRDefault="00000000">
      <w:pPr>
        <w:pStyle w:val="Heading1"/>
      </w:pPr>
      <w:r>
        <w:t>4.2 Accelerometer Viability Test</w:t>
      </w:r>
    </w:p>
    <w:p w14:paraId="160EF0EF" w14:textId="77777777" w:rsidR="00102E0C" w:rsidRDefault="00000000">
      <w:pPr>
        <w:pStyle w:val="TemplatePlaceholder"/>
      </w:pPr>
      <w:r>
        <w:t>[Explain magnitude calculation, unit conversion to g, cross-correlation alignment, linear calibration, RMSE, mean bias, and Pearson correlation against the LORD reference.]</w:t>
      </w:r>
    </w:p>
    <w:p w14:paraId="563DB799" w14:textId="77777777" w:rsidR="00102E0C" w:rsidRDefault="00000000">
      <w:pPr>
        <w:pStyle w:val="Heading1"/>
      </w:pPr>
      <w:r>
        <w:t>4.3 FFT Viability Test</w:t>
      </w:r>
    </w:p>
    <w:p w14:paraId="18B939F5" w14:textId="77777777" w:rsidR="00102E0C" w:rsidRDefault="00000000">
      <w:pPr>
        <w:pStyle w:val="TemplatePlaceholder"/>
      </w:pPr>
      <w:r>
        <w:t>[Compare frequency-domain amplitude spectra over the range of interest. Report FFT amplitude correlation and matching/different peaks.]</w:t>
      </w:r>
    </w:p>
    <w:p w14:paraId="14F12986" w14:textId="77777777" w:rsidR="00102E0C" w:rsidRDefault="00000000">
      <w:pPr>
        <w:pStyle w:val="Heading1"/>
      </w:pPr>
      <w:r>
        <w:t>4.4 Tilt Extraction Material</w:t>
      </w:r>
    </w:p>
    <w:p w14:paraId="02D2B208" w14:textId="77777777" w:rsidR="00102E0C" w:rsidRDefault="00000000">
      <w:pPr>
        <w:pStyle w:val="TemplatePlaceholder"/>
      </w:pPr>
      <w:r>
        <w:t>[If retained, explain install-time gravity reference, differential tilt angle, and two-axis decomposition. Keep it as methods or appendix material unless there are results.]</w:t>
      </w:r>
    </w:p>
    <w:p w14:paraId="680480CB" w14:textId="77777777" w:rsidR="00102E0C" w:rsidRDefault="00000000">
      <w:pPr>
        <w:pStyle w:val="Heading1"/>
      </w:pPr>
      <w:r>
        <w:t>4.5 End-to-End Pipeline Evidence</w:t>
      </w:r>
    </w:p>
    <w:p w14:paraId="0FCDEC2E" w14:textId="77777777" w:rsidR="00102E0C" w:rsidRDefault="00000000">
      <w:pPr>
        <w:pStyle w:val="TemplatePlaceholder"/>
      </w:pPr>
      <w:r>
        <w:t>[Show firmware POST success, Supabase insertion, dashboard visibility, and exported analysis data.]</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1684E7F9" w14:textId="77777777">
        <w:tc>
          <w:tcPr>
            <w:tcW w:w="2100" w:type="dxa"/>
            <w:shd w:val="clear" w:color="auto" w:fill="EDEDED"/>
            <w:tcMar>
              <w:top w:w="40" w:type="dxa"/>
              <w:left w:w="60" w:type="dxa"/>
              <w:bottom w:w="40" w:type="dxa"/>
              <w:right w:w="60" w:type="dxa"/>
            </w:tcMar>
            <w:vAlign w:val="center"/>
          </w:tcPr>
          <w:p w14:paraId="69EA5190" w14:textId="77777777" w:rsidR="00102E0C" w:rsidRDefault="00000000">
            <w:pPr>
              <w:spacing w:after="0" w:line="240" w:lineRule="auto"/>
            </w:pPr>
            <w:r>
              <w:rPr>
                <w:b/>
                <w:sz w:val="17"/>
              </w:rPr>
              <w:t>Claim</w:t>
            </w:r>
          </w:p>
        </w:tc>
        <w:tc>
          <w:tcPr>
            <w:tcW w:w="2500" w:type="dxa"/>
            <w:shd w:val="clear" w:color="auto" w:fill="EDEDED"/>
            <w:tcMar>
              <w:top w:w="40" w:type="dxa"/>
              <w:left w:w="60" w:type="dxa"/>
              <w:bottom w:w="40" w:type="dxa"/>
              <w:right w:w="60" w:type="dxa"/>
            </w:tcMar>
            <w:vAlign w:val="center"/>
          </w:tcPr>
          <w:p w14:paraId="5D47EBA2" w14:textId="77777777" w:rsidR="00102E0C" w:rsidRDefault="00000000">
            <w:pPr>
              <w:spacing w:after="0" w:line="240" w:lineRule="auto"/>
            </w:pPr>
            <w:r>
              <w:rPr>
                <w:b/>
                <w:sz w:val="17"/>
              </w:rPr>
              <w:t>Success criterion</w:t>
            </w:r>
          </w:p>
        </w:tc>
        <w:tc>
          <w:tcPr>
            <w:tcW w:w="3100" w:type="dxa"/>
            <w:shd w:val="clear" w:color="auto" w:fill="EDEDED"/>
            <w:tcMar>
              <w:top w:w="40" w:type="dxa"/>
              <w:left w:w="60" w:type="dxa"/>
              <w:bottom w:w="40" w:type="dxa"/>
              <w:right w:w="60" w:type="dxa"/>
            </w:tcMar>
            <w:vAlign w:val="center"/>
          </w:tcPr>
          <w:p w14:paraId="2B279C64" w14:textId="77777777" w:rsidR="00102E0C" w:rsidRDefault="00000000">
            <w:pPr>
              <w:spacing w:after="0" w:line="240" w:lineRule="auto"/>
            </w:pPr>
            <w:r>
              <w:rPr>
                <w:b/>
                <w:sz w:val="17"/>
              </w:rPr>
              <w:t>Evidence to insert</w:t>
            </w:r>
          </w:p>
        </w:tc>
        <w:tc>
          <w:tcPr>
            <w:tcW w:w="1660" w:type="dxa"/>
            <w:shd w:val="clear" w:color="auto" w:fill="EDEDED"/>
            <w:tcMar>
              <w:top w:w="40" w:type="dxa"/>
              <w:left w:w="60" w:type="dxa"/>
              <w:bottom w:w="40" w:type="dxa"/>
              <w:right w:w="60" w:type="dxa"/>
            </w:tcMar>
            <w:vAlign w:val="center"/>
          </w:tcPr>
          <w:p w14:paraId="29A76971" w14:textId="77777777" w:rsidR="00102E0C" w:rsidRDefault="00000000">
            <w:pPr>
              <w:spacing w:after="0" w:line="240" w:lineRule="auto"/>
            </w:pPr>
            <w:r>
              <w:rPr>
                <w:b/>
                <w:sz w:val="17"/>
              </w:rPr>
              <w:t>Status</w:t>
            </w:r>
          </w:p>
        </w:tc>
      </w:tr>
      <w:tr w:rsidR="00102E0C" w14:paraId="1288FB7A" w14:textId="77777777">
        <w:tc>
          <w:tcPr>
            <w:tcW w:w="2100" w:type="dxa"/>
            <w:tcMar>
              <w:top w:w="40" w:type="dxa"/>
              <w:left w:w="60" w:type="dxa"/>
              <w:bottom w:w="40" w:type="dxa"/>
              <w:right w:w="60" w:type="dxa"/>
            </w:tcMar>
            <w:vAlign w:val="center"/>
          </w:tcPr>
          <w:p w14:paraId="03C3FFB9" w14:textId="77777777" w:rsidR="00102E0C" w:rsidRDefault="00000000">
            <w:pPr>
              <w:spacing w:after="0" w:line="240" w:lineRule="auto"/>
            </w:pPr>
            <w:r>
              <w:rPr>
                <w:sz w:val="17"/>
              </w:rPr>
              <w:t>Constant stream power</w:t>
            </w:r>
          </w:p>
        </w:tc>
        <w:tc>
          <w:tcPr>
            <w:tcW w:w="2500" w:type="dxa"/>
            <w:tcMar>
              <w:top w:w="40" w:type="dxa"/>
              <w:left w:w="60" w:type="dxa"/>
              <w:bottom w:w="40" w:type="dxa"/>
              <w:right w:w="60" w:type="dxa"/>
            </w:tcMar>
            <w:vAlign w:val="center"/>
          </w:tcPr>
          <w:p w14:paraId="1135FB88"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5EFF4108" w14:textId="77777777" w:rsidR="00102E0C" w:rsidRDefault="00000000">
            <w:pPr>
              <w:spacing w:after="0" w:line="240" w:lineRule="auto"/>
            </w:pPr>
            <w:r>
              <w:rPr>
                <w:sz w:val="17"/>
              </w:rPr>
              <w:t>[Power budget + solar margin + telemetry]</w:t>
            </w:r>
          </w:p>
        </w:tc>
        <w:tc>
          <w:tcPr>
            <w:tcW w:w="1660" w:type="dxa"/>
            <w:tcMar>
              <w:top w:w="40" w:type="dxa"/>
              <w:left w:w="60" w:type="dxa"/>
              <w:bottom w:w="40" w:type="dxa"/>
              <w:right w:w="60" w:type="dxa"/>
            </w:tcMar>
            <w:vAlign w:val="center"/>
          </w:tcPr>
          <w:p w14:paraId="016ECBB1" w14:textId="77777777" w:rsidR="00102E0C" w:rsidRDefault="00000000">
            <w:r>
              <w:t>[Status]</w:t>
            </w:r>
          </w:p>
        </w:tc>
      </w:tr>
      <w:tr w:rsidR="00102E0C" w14:paraId="23C1E8FE" w14:textId="77777777">
        <w:tc>
          <w:tcPr>
            <w:tcW w:w="2100" w:type="dxa"/>
            <w:tcMar>
              <w:top w:w="40" w:type="dxa"/>
              <w:left w:w="60" w:type="dxa"/>
              <w:bottom w:w="40" w:type="dxa"/>
              <w:right w:w="60" w:type="dxa"/>
            </w:tcMar>
            <w:vAlign w:val="center"/>
          </w:tcPr>
          <w:p w14:paraId="2C243750" w14:textId="77777777" w:rsidR="00102E0C" w:rsidRDefault="00000000">
            <w:pPr>
              <w:spacing w:after="0" w:line="240" w:lineRule="auto"/>
            </w:pPr>
            <w:r>
              <w:rPr>
                <w:sz w:val="17"/>
              </w:rPr>
              <w:t>Accelerometer agreement</w:t>
            </w:r>
          </w:p>
        </w:tc>
        <w:tc>
          <w:tcPr>
            <w:tcW w:w="2500" w:type="dxa"/>
            <w:tcMar>
              <w:top w:w="40" w:type="dxa"/>
              <w:left w:w="60" w:type="dxa"/>
              <w:bottom w:w="40" w:type="dxa"/>
              <w:right w:w="60" w:type="dxa"/>
            </w:tcMar>
            <w:vAlign w:val="center"/>
          </w:tcPr>
          <w:p w14:paraId="046ABBB0"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0DAF12F0" w14:textId="77777777" w:rsidR="00102E0C" w:rsidRDefault="00000000">
            <w:pPr>
              <w:spacing w:after="0" w:line="240" w:lineRule="auto"/>
            </w:pPr>
            <w:r>
              <w:rPr>
                <w:sz w:val="17"/>
              </w:rPr>
              <w:t>[Time-domain metrics]</w:t>
            </w:r>
          </w:p>
        </w:tc>
        <w:tc>
          <w:tcPr>
            <w:tcW w:w="1660" w:type="dxa"/>
            <w:tcMar>
              <w:top w:w="40" w:type="dxa"/>
              <w:left w:w="60" w:type="dxa"/>
              <w:bottom w:w="40" w:type="dxa"/>
              <w:right w:w="60" w:type="dxa"/>
            </w:tcMar>
            <w:vAlign w:val="center"/>
          </w:tcPr>
          <w:p w14:paraId="107641AB" w14:textId="77777777" w:rsidR="00102E0C" w:rsidRDefault="00000000">
            <w:r>
              <w:t>[Status]</w:t>
            </w:r>
          </w:p>
        </w:tc>
      </w:tr>
      <w:tr w:rsidR="00102E0C" w14:paraId="482DBC97" w14:textId="77777777">
        <w:tc>
          <w:tcPr>
            <w:tcW w:w="2100" w:type="dxa"/>
            <w:tcMar>
              <w:top w:w="40" w:type="dxa"/>
              <w:left w:w="60" w:type="dxa"/>
              <w:bottom w:w="40" w:type="dxa"/>
              <w:right w:w="60" w:type="dxa"/>
            </w:tcMar>
            <w:vAlign w:val="center"/>
          </w:tcPr>
          <w:p w14:paraId="61142C61" w14:textId="77777777" w:rsidR="00102E0C" w:rsidRDefault="00000000">
            <w:pPr>
              <w:spacing w:after="0" w:line="240" w:lineRule="auto"/>
            </w:pPr>
            <w:r>
              <w:rPr>
                <w:sz w:val="17"/>
              </w:rPr>
              <w:t>Frequency response</w:t>
            </w:r>
          </w:p>
        </w:tc>
        <w:tc>
          <w:tcPr>
            <w:tcW w:w="2500" w:type="dxa"/>
            <w:tcMar>
              <w:top w:w="40" w:type="dxa"/>
              <w:left w:w="60" w:type="dxa"/>
              <w:bottom w:w="40" w:type="dxa"/>
              <w:right w:w="60" w:type="dxa"/>
            </w:tcMar>
            <w:vAlign w:val="center"/>
          </w:tcPr>
          <w:p w14:paraId="5DF76E19"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7847AA0B" w14:textId="77777777" w:rsidR="00102E0C" w:rsidRDefault="00000000">
            <w:pPr>
              <w:spacing w:after="0" w:line="240" w:lineRule="auto"/>
            </w:pPr>
            <w:r>
              <w:rPr>
                <w:sz w:val="17"/>
              </w:rPr>
              <w:t>[FFT comparison]</w:t>
            </w:r>
          </w:p>
        </w:tc>
        <w:tc>
          <w:tcPr>
            <w:tcW w:w="1660" w:type="dxa"/>
            <w:tcMar>
              <w:top w:w="40" w:type="dxa"/>
              <w:left w:w="60" w:type="dxa"/>
              <w:bottom w:w="40" w:type="dxa"/>
              <w:right w:w="60" w:type="dxa"/>
            </w:tcMar>
            <w:vAlign w:val="center"/>
          </w:tcPr>
          <w:p w14:paraId="70535696" w14:textId="77777777" w:rsidR="00102E0C" w:rsidRDefault="00000000">
            <w:r>
              <w:t>[Status]</w:t>
            </w:r>
          </w:p>
        </w:tc>
      </w:tr>
      <w:tr w:rsidR="00102E0C" w14:paraId="39B7F82B" w14:textId="77777777">
        <w:tc>
          <w:tcPr>
            <w:tcW w:w="2100" w:type="dxa"/>
            <w:tcMar>
              <w:top w:w="40" w:type="dxa"/>
              <w:left w:w="60" w:type="dxa"/>
              <w:bottom w:w="40" w:type="dxa"/>
              <w:right w:w="60" w:type="dxa"/>
            </w:tcMar>
            <w:vAlign w:val="center"/>
          </w:tcPr>
          <w:p w14:paraId="1DA8CFB0" w14:textId="77777777" w:rsidR="00102E0C" w:rsidRDefault="00000000">
            <w:pPr>
              <w:spacing w:after="0" w:line="240" w:lineRule="auto"/>
            </w:pPr>
            <w:r>
              <w:rPr>
                <w:sz w:val="17"/>
              </w:rPr>
              <w:t>Pipeline</w:t>
            </w:r>
          </w:p>
        </w:tc>
        <w:tc>
          <w:tcPr>
            <w:tcW w:w="2500" w:type="dxa"/>
            <w:tcMar>
              <w:top w:w="40" w:type="dxa"/>
              <w:left w:w="60" w:type="dxa"/>
              <w:bottom w:w="40" w:type="dxa"/>
              <w:right w:w="60" w:type="dxa"/>
            </w:tcMar>
            <w:vAlign w:val="center"/>
          </w:tcPr>
          <w:p w14:paraId="70345CD0"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23D99B83" w14:textId="77777777" w:rsidR="00102E0C" w:rsidRDefault="00000000">
            <w:pPr>
              <w:spacing w:after="0" w:line="240" w:lineRule="auto"/>
            </w:pPr>
            <w:r>
              <w:rPr>
                <w:sz w:val="17"/>
              </w:rPr>
              <w:t>[HTTP 201, DB/dashboard evidence]</w:t>
            </w:r>
          </w:p>
        </w:tc>
        <w:tc>
          <w:tcPr>
            <w:tcW w:w="1660" w:type="dxa"/>
            <w:tcMar>
              <w:top w:w="40" w:type="dxa"/>
              <w:left w:w="60" w:type="dxa"/>
              <w:bottom w:w="40" w:type="dxa"/>
              <w:right w:w="60" w:type="dxa"/>
            </w:tcMar>
            <w:vAlign w:val="center"/>
          </w:tcPr>
          <w:p w14:paraId="6E2FC57B" w14:textId="77777777" w:rsidR="00102E0C" w:rsidRDefault="00000000">
            <w:r>
              <w:t>[Status]</w:t>
            </w:r>
          </w:p>
        </w:tc>
      </w:tr>
    </w:tbl>
    <w:p w14:paraId="61B86675" w14:textId="77777777" w:rsidR="00102E0C" w:rsidRDefault="00000000">
      <w:pPr>
        <w:pStyle w:val="Heading1"/>
      </w:pPr>
      <w:r>
        <w:lastRenderedPageBreak/>
        <w:t>5. Discussion</w:t>
      </w:r>
    </w:p>
    <w:p w14:paraId="7A3F725D" w14:textId="77777777" w:rsidR="00102E0C" w:rsidRDefault="00000000">
      <w:pPr>
        <w:pStyle w:val="TemplatePlaceholder"/>
      </w:pPr>
      <w:r>
        <w:t>[Interpret what the results prove and what they do not prove. Separate prototype feasibility from full deployment readiness.]</w:t>
      </w:r>
    </w:p>
    <w:p w14:paraId="6F134E25" w14:textId="77777777" w:rsidR="00102E0C" w:rsidRDefault="00000000">
      <w:pPr>
        <w:pStyle w:val="Heading2"/>
      </w:pPr>
      <w:r>
        <w:t>5.1 Limitations</w:t>
      </w:r>
    </w:p>
    <w:p w14:paraId="52A9E517" w14:textId="77777777" w:rsidR="00102E0C" w:rsidRDefault="00000000">
      <w:pPr>
        <w:pStyle w:val="TemplatePlaceholder"/>
      </w:pPr>
      <w:r>
        <w:t>[Short validation window, mounting uncertainty, LTE/solar variability, external-buffer SOC not directly telemetered, and any sensor-axis caveats.]</w:t>
      </w:r>
    </w:p>
    <w:p w14:paraId="5AC682BD" w14:textId="77777777" w:rsidR="00102E0C" w:rsidRDefault="00000000">
      <w:pPr>
        <w:pStyle w:val="Heading2"/>
      </w:pPr>
      <w:r>
        <w:t>5.2 Future Work</w:t>
      </w:r>
    </w:p>
    <w:p w14:paraId="0C926F45" w14:textId="77777777" w:rsidR="00102E0C" w:rsidRDefault="00000000">
      <w:pPr>
        <w:pStyle w:val="TemplatePlaceholder"/>
      </w:pPr>
      <w:r>
        <w:t>[Longer unattended field run, enclosure/mount refinement, outdoor weather validation, and optional watchdog confirmation if enabled.]</w:t>
      </w:r>
    </w:p>
    <w:p w14:paraId="68C35F0A" w14:textId="77777777" w:rsidR="00102E0C" w:rsidRDefault="00000000">
      <w:pPr>
        <w:pStyle w:val="Heading1"/>
      </w:pPr>
      <w:r>
        <w:t>6. Conclusion</w:t>
      </w:r>
    </w:p>
    <w:p w14:paraId="2A21EC95" w14:textId="77777777" w:rsidR="00102E0C" w:rsidRDefault="00000000">
      <w:pPr>
        <w:pStyle w:val="TemplatePlaceholder"/>
      </w:pPr>
      <w:r>
        <w:t>[One direct feasibility judgment. Do not introduce new evidence here.]</w:t>
      </w:r>
    </w:p>
    <w:p w14:paraId="727DE3D2" w14:textId="77777777" w:rsidR="00102E0C" w:rsidRDefault="00000000">
      <w:pPr>
        <w:pStyle w:val="Heading1"/>
      </w:pPr>
      <w:r>
        <w:t>References</w:t>
      </w:r>
    </w:p>
    <w:p w14:paraId="6299EB5E" w14:textId="77777777" w:rsidR="00102E0C" w:rsidRDefault="00000000">
      <w:pPr>
        <w:pStyle w:val="TemplatePlaceholder"/>
      </w:pPr>
      <w:r>
        <w:t>[Add datasheets, Nordic Thingy:91 X documentation, ADXL367 datasheet, BQ24074/S7V8F5 docs, LORD/SensorConnect references, and any SHM background citations.]</w:t>
      </w:r>
    </w:p>
    <w:p w14:paraId="45E76D8F" w14:textId="77777777" w:rsidR="00102E0C" w:rsidRDefault="00000000">
      <w:pPr>
        <w:pStyle w:val="Heading1"/>
      </w:pPr>
      <w:r>
        <w:t>Appendix A. Hardware Specification</w:t>
      </w:r>
    </w:p>
    <w:p w14:paraId="5A62DCD1" w14:textId="77777777" w:rsidR="00102E0C" w:rsidRDefault="00000000">
      <w:pPr>
        <w:pStyle w:val="TemplatePlaceholder"/>
      </w:pPr>
      <w:r>
        <w:t>[Paste or cite HARDWARE_SPEC.md and BOM.md.]</w:t>
      </w:r>
    </w:p>
    <w:p w14:paraId="1DBE1DE9" w14:textId="77777777" w:rsidR="00102E0C" w:rsidRDefault="00000000">
      <w:pPr>
        <w:pStyle w:val="Heading1"/>
      </w:pPr>
      <w:r>
        <w:t>Appendix B. Firmware and Cloud Configuration</w:t>
      </w:r>
    </w:p>
    <w:p w14:paraId="218E4146" w14:textId="77777777" w:rsidR="00102E0C" w:rsidRDefault="00000000">
      <w:pPr>
        <w:pStyle w:val="TemplatePlaceholder"/>
      </w:pPr>
      <w:r>
        <w:t>[Paste or cite FIRMWARE.md, ARCHITECTURE.md, schema, and endpoint notes.]</w:t>
      </w:r>
    </w:p>
    <w:p w14:paraId="696AD4CC" w14:textId="77777777" w:rsidR="00102E0C" w:rsidRDefault="00000000">
      <w:pPr>
        <w:pStyle w:val="Heading1"/>
      </w:pPr>
      <w:r>
        <w:t>Appendix C. Data Processing and Additional Plots</w:t>
      </w:r>
    </w:p>
    <w:p w14:paraId="4272830E" w14:textId="77777777" w:rsidR="00102E0C" w:rsidRDefault="00000000">
      <w:pPr>
        <w:pStyle w:val="TemplatePlaceholder"/>
      </w:pPr>
      <w:r>
        <w:t>[Include SensorConnect exports, calibration scripts, FFT plots, tilt derivation, and raw/processed metrics.]</w:t>
      </w:r>
    </w:p>
    <w:sectPr w:rsidR="00102E0C" w:rsidSect="00034616">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251B7" w14:textId="77777777" w:rsidR="006039B7" w:rsidRDefault="006039B7">
      <w:pPr>
        <w:spacing w:after="0" w:line="240" w:lineRule="auto"/>
      </w:pPr>
      <w:r>
        <w:separator/>
      </w:r>
    </w:p>
  </w:endnote>
  <w:endnote w:type="continuationSeparator" w:id="0">
    <w:p w14:paraId="027AEEBC" w14:textId="77777777" w:rsidR="006039B7" w:rsidRDefault="00603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FEA80" w14:textId="3A9BF4A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4C72"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39492" w14:textId="77777777" w:rsidR="006039B7" w:rsidRDefault="006039B7">
      <w:pPr>
        <w:spacing w:after="0" w:line="240" w:lineRule="auto"/>
      </w:pPr>
      <w:r>
        <w:separator/>
      </w:r>
    </w:p>
  </w:footnote>
  <w:footnote w:type="continuationSeparator" w:id="0">
    <w:p w14:paraId="1001ECF5" w14:textId="77777777" w:rsidR="006039B7" w:rsidRDefault="00603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30D0"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A16F"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E0C"/>
    <w:rsid w:val="0015074B"/>
    <w:rsid w:val="0029639D"/>
    <w:rsid w:val="00326F90"/>
    <w:rsid w:val="00331AE1"/>
    <w:rsid w:val="00572F36"/>
    <w:rsid w:val="006039B7"/>
    <w:rsid w:val="007F61C4"/>
    <w:rsid w:val="009A6991"/>
    <w:rsid w:val="00AA1D8D"/>
    <w:rsid w:val="00B47730"/>
    <w:rsid w:val="00CB0664"/>
    <w:rsid w:val="00E23B7A"/>
    <w:rsid w:val="00F42F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0E510"/>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933</Words>
  <Characters>6300</Characters>
  <Application>Microsoft Office Word</Application>
  <DocSecurity>0</DocSecurity>
  <Lines>140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5</cp:revision>
  <dcterms:created xsi:type="dcterms:W3CDTF">2013-12-23T23:15:00Z</dcterms:created>
  <dcterms:modified xsi:type="dcterms:W3CDTF">2026-05-09T20:56:00Z</dcterms:modified>
  <cp:category/>
</cp:coreProperties>
</file>