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rPr>
        <w:t xml:space="preserve">Metacognition in </w:t>
      </w:r>
      <w:r>
        <w:rPr>
          <w:rFonts w:ascii="Courier New" w:hAnsi="Courier New"/>
          <w:sz w:val="19"/>
        </w:rPr>
        <w:t>google/gemini-3.1-flash-lite-preview</w:t>
      </w:r>
    </w:p>
    <w:p>
      <w:pPr>
        <w:pStyle w:val="Heading1"/>
      </w:pPr>
      <w:r>
        <w:t>Research question</w:t>
      </w:r>
    </w:p>
    <w:p>
      <w:r>
        <w:rPr>
          <w:rFonts w:ascii="Arial" w:hAnsi="Arial"/>
        </w:rPr>
        <w:t xml:space="preserve">Does </w:t>
      </w:r>
      <w:r>
        <w:rPr>
          <w:rFonts w:ascii="Courier New" w:hAnsi="Courier New"/>
          <w:sz w:val="19"/>
        </w:rPr>
        <w:t>google/gemini-3.1-flash-lite-preview</w:t>
      </w:r>
      <w:r>
        <w:rPr>
          <w:rFonts w:ascii="Arial" w:hAnsi="Arial"/>
        </w:rPr>
        <w:t xml:space="preserve"> give calibrated confidence judgments about its own quantitative estimates, and does a brief reflection instruction change those judgments?</w:t>
      </w:r>
    </w:p>
    <w:p>
      <w:pPr>
        <w:pStyle w:val="Heading1"/>
      </w:pPr>
      <w:r>
        <w:t>Design</w:t>
      </w:r>
    </w:p>
    <w:p>
      <w:r>
        <w:rPr>
          <w:rFonts w:ascii="Arial" w:hAnsi="Arial"/>
        </w:rPr>
        <w:t>The subject model answered 36 self-contained quantitative estimation trials across 18 tasks. Each task appeared once in a direct condition and once in a reflective condition. The reflective condition asked the model to silently consider two ways its estimate could be wrong before reporting the same structured fields.</w:t>
      </w:r>
    </w:p>
    <w:p>
      <w:r>
        <w:rPr>
          <w:rFonts w:ascii="Arial" w:hAnsi="Arial"/>
        </w:rPr>
        <w:t>The task data were synthetic scenario quantities with known answers computed by the experiment script. This avoids scoring against current web facts and reduces the chance that the model is simply recalling a memorized answer.</w:t>
      </w:r>
    </w:p>
    <w:p>
      <w:pPr>
        <w:pStyle w:val="ListBullet"/>
      </w:pPr>
      <w:r>
        <w:rPr>
          <w:rFonts w:ascii="Arial" w:hAnsi="Arial"/>
        </w:rPr>
        <w:t xml:space="preserve">Model: </w:t>
      </w:r>
      <w:r>
        <w:rPr>
          <w:rFonts w:ascii="Courier New" w:hAnsi="Courier New"/>
          <w:sz w:val="19"/>
        </w:rPr>
        <w:t>google/gemini-3.1-flash-lite-preview</w:t>
      </w:r>
    </w:p>
    <w:p>
      <w:pPr>
        <w:pStyle w:val="ListBullet"/>
      </w:pPr>
      <w:r>
        <w:rPr>
          <w:rFonts w:ascii="Arial" w:hAnsi="Arial"/>
        </w:rPr>
        <w:t xml:space="preserve">Temperature: </w:t>
      </w:r>
      <w:r>
        <w:rPr>
          <w:rFonts w:ascii="Courier New" w:hAnsi="Courier New"/>
          <w:sz w:val="19"/>
        </w:rPr>
        <w:t>0.7</w:t>
      </w:r>
    </w:p>
    <w:p>
      <w:pPr>
        <w:pStyle w:val="ListBullet"/>
      </w:pPr>
      <w:r>
        <w:rPr>
          <w:rFonts w:ascii="Arial" w:hAnsi="Arial"/>
        </w:rPr>
        <w:t xml:space="preserve">Seed for trial order: </w:t>
      </w:r>
      <w:r>
        <w:rPr>
          <w:rFonts w:ascii="Courier New" w:hAnsi="Courier New"/>
          <w:sz w:val="19"/>
        </w:rPr>
        <w:t>20260502</w:t>
      </w:r>
    </w:p>
    <w:p>
      <w:pPr>
        <w:pStyle w:val="ListBullet"/>
      </w:pPr>
      <w:r>
        <w:rPr>
          <w:rFonts w:ascii="Arial" w:hAnsi="Arial"/>
        </w:rPr>
        <w:t>Primary metacognitive measures: stated probability of being within 25% of truth, stated probability of being within a factor of 2, and 80% interval coverage.</w:t>
      </w:r>
    </w:p>
    <w:p>
      <w:pPr>
        <w:pStyle w:val="Heading1"/>
      </w:pPr>
      <w:r>
        <w:t>Results</w:t>
      </w:r>
    </w:p>
    <w:p>
      <w:r>
        <w:rPr>
          <w:rFonts w:ascii="Arial" w:hAnsi="Arial"/>
        </w:rPr>
        <w:t>Overall, the model's median absolute error was 1.01x. It was within 25% on 69.4% of trials while claiming 70.8% average confidence for that event. It was within a factor of 2 on 75.0% of trials while claiming 95.6% average confidence. Its nominal 80% intervals contained the truth on 69.4% of trials.</w:t>
      </w:r>
    </w:p>
    <w:tbl>
      <w:tblPr>
        <w:tblStyle w:val="TableGrid"/>
        <w:tblW w:type="dxa" w:w="13680"/>
        <w:jc w:val="left"/>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2400"/>
            <w:vAlign w:val="center"/>
            <w:shd w:fill="EAF1F7"/>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left"/>
            </w:pPr>
            <w:r>
              <w:rPr>
                <w:rFonts w:ascii="Arial" w:hAnsi="Arial"/>
                <w:b/>
                <w:color w:val="254F70"/>
                <w:sz w:val="17"/>
              </w:rPr>
              <w:t>Condition</w:t>
            </w:r>
          </w:p>
        </w:tc>
        <w:tc>
          <w:tcPr>
            <w:tcW w:type="dxa" w:w="1700"/>
            <w:vAlign w:val="center"/>
            <w:shd w:fill="EAF1F7"/>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b/>
                <w:color w:val="254F70"/>
                <w:sz w:val="17"/>
              </w:rPr>
              <w:t>N</w:t>
            </w:r>
          </w:p>
        </w:tc>
        <w:tc>
          <w:tcPr>
            <w:tcW w:type="dxa" w:w="1700"/>
            <w:vAlign w:val="center"/>
            <w:shd w:fill="EAF1F7"/>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b/>
                <w:color w:val="254F70"/>
                <w:sz w:val="17"/>
              </w:rPr>
              <w:t>Median factor error</w:t>
            </w:r>
          </w:p>
        </w:tc>
        <w:tc>
          <w:tcPr>
            <w:tcW w:type="dxa" w:w="1700"/>
            <w:vAlign w:val="center"/>
            <w:shd w:fill="EAF1F7"/>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b/>
                <w:color w:val="254F70"/>
                <w:sz w:val="17"/>
              </w:rPr>
              <w:t>Within 25%</w:t>
            </w:r>
          </w:p>
        </w:tc>
        <w:tc>
          <w:tcPr>
            <w:tcW w:type="dxa" w:w="1700"/>
            <w:vAlign w:val="center"/>
            <w:shd w:fill="EAF1F7"/>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b/>
                <w:color w:val="254F70"/>
                <w:sz w:val="17"/>
              </w:rPr>
              <w:t>Mean conf. within 25%</w:t>
            </w:r>
          </w:p>
        </w:tc>
        <w:tc>
          <w:tcPr>
            <w:tcW w:type="dxa" w:w="1700"/>
            <w:vAlign w:val="center"/>
            <w:shd w:fill="EAF1F7"/>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b/>
                <w:color w:val="254F70"/>
                <w:sz w:val="17"/>
              </w:rPr>
              <w:t>Within 2x</w:t>
            </w:r>
          </w:p>
        </w:tc>
        <w:tc>
          <w:tcPr>
            <w:tcW w:type="dxa" w:w="1700"/>
            <w:vAlign w:val="center"/>
            <w:shd w:fill="EAF1F7"/>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b/>
                <w:color w:val="254F70"/>
                <w:sz w:val="17"/>
              </w:rPr>
              <w:t>Mean conf. within 2x</w:t>
            </w:r>
          </w:p>
        </w:tc>
        <w:tc>
          <w:tcPr>
            <w:tcW w:type="dxa" w:w="1700"/>
            <w:vAlign w:val="center"/>
            <w:shd w:fill="EAF1F7"/>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b/>
                <w:color w:val="254F70"/>
                <w:sz w:val="17"/>
              </w:rPr>
              <w:t>80% interval coverage</w:t>
            </w:r>
          </w:p>
        </w:tc>
      </w:tr>
      <w:tr>
        <w:tc>
          <w:tcPr>
            <w:tcW w:type="dxa" w:w="24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left"/>
            </w:pPr>
            <w:r>
              <w:rPr>
                <w:rFonts w:ascii="Arial" w:hAnsi="Arial"/>
                <w:sz w:val="16"/>
              </w:rPr>
              <w:t>direct</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18</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1.01x</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72.2%</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76.1%</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77.8%</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96.8%</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72.2%</w:t>
            </w:r>
          </w:p>
        </w:tc>
      </w:tr>
      <w:tr>
        <w:tc>
          <w:tcPr>
            <w:tcW w:type="dxa" w:w="24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left"/>
            </w:pPr>
            <w:r>
              <w:rPr>
                <w:rFonts w:ascii="Arial" w:hAnsi="Arial"/>
                <w:sz w:val="16"/>
              </w:rPr>
              <w:t>reflective</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18</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1.01x</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66.7%</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65.6%</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72.2%</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94.4%</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66.7%</w:t>
            </w:r>
          </w:p>
        </w:tc>
      </w:tr>
    </w:tbl>
    <w:p/>
    <w:p>
      <w:r>
        <w:rPr>
          <w:rFonts w:ascii="Arial" w:hAnsi="Arial"/>
        </w:rPr>
        <w:t>The paired reflection effect on 25%-confidence was -10.6 percentage points (reflective minus direct), paired t=-4.13, p=0.001.</w:t>
      </w:r>
    </w:p>
    <w:p>
      <w:pPr>
        <w:jc w:val="center"/>
      </w:pPr>
      <w:r>
        <w:drawing>
          <wp:inline xmlns:a="http://schemas.openxmlformats.org/drawingml/2006/main" xmlns:pic="http://schemas.openxmlformats.org/drawingml/2006/picture">
            <wp:extent cx="7132320" cy="2917767"/>
            <wp:docPr id="1" name="Picture 1"/>
            <wp:cNvGraphicFramePr>
              <a:graphicFrameLocks noChangeAspect="1"/>
            </wp:cNvGraphicFramePr>
            <a:graphic>
              <a:graphicData uri="http://schemas.openxmlformats.org/drawingml/2006/picture">
                <pic:pic>
                  <pic:nvPicPr>
                    <pic:cNvPr id="0" name="calibration.png"/>
                    <pic:cNvPicPr/>
                  </pic:nvPicPr>
                  <pic:blipFill>
                    <a:blip r:embed="rId11"/>
                    <a:stretch>
                      <a:fillRect/>
                    </a:stretch>
                  </pic:blipFill>
                  <pic:spPr>
                    <a:xfrm>
                      <a:off x="0" y="0"/>
                      <a:ext cx="7132320" cy="2917767"/>
                    </a:xfrm>
                    <a:prstGeom prst="rect"/>
                  </pic:spPr>
                </pic:pic>
              </a:graphicData>
            </a:graphic>
          </wp:inline>
        </w:drawing>
      </w:r>
    </w:p>
    <w:p>
      <w:pPr>
        <w:jc w:val="center"/>
      </w:pPr>
      <w:r>
        <w:rPr>
          <w:color w:val="616B75"/>
          <w:sz w:val="18"/>
        </w:rPr>
        <w:t>Calibration plot</w:t>
      </w:r>
    </w:p>
    <w:p>
      <w:pPr>
        <w:pStyle w:val="Heading1"/>
      </w:pPr>
      <w:r>
        <w:t>Largest Errors</w:t>
      </w:r>
    </w:p>
    <w:tbl>
      <w:tblPr>
        <w:tblStyle w:val="TableGrid"/>
        <w:tblW w:type="dxa" w:w="13680"/>
        <w:jc w:val="left"/>
        <w:tblLayout w:type="fixed"/>
        <w:tblLook w:firstColumn="1" w:firstRow="1" w:lastColumn="0" w:lastRow="0" w:noHBand="0" w:noVBand="1" w:val="04A0"/>
      </w:tblPr>
      <w:tblGrid>
        <w:gridCol w:w="2280"/>
        <w:gridCol w:w="2280"/>
        <w:gridCol w:w="2280"/>
        <w:gridCol w:w="2280"/>
        <w:gridCol w:w="2280"/>
        <w:gridCol w:w="2280"/>
      </w:tblGrid>
      <w:tr>
        <w:tc>
          <w:tcPr>
            <w:tcW w:type="dxa" w:w="2400"/>
            <w:vAlign w:val="center"/>
            <w:shd w:fill="EAF1F7"/>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left"/>
            </w:pPr>
            <w:r>
              <w:rPr>
                <w:rFonts w:ascii="Arial" w:hAnsi="Arial"/>
                <w:b/>
                <w:color w:val="254F70"/>
                <w:sz w:val="17"/>
              </w:rPr>
              <w:t>Task</w:t>
            </w:r>
          </w:p>
        </w:tc>
        <w:tc>
          <w:tcPr>
            <w:tcW w:type="dxa" w:w="1700"/>
            <w:vAlign w:val="center"/>
            <w:shd w:fill="EAF1F7"/>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b/>
                <w:color w:val="254F70"/>
                <w:sz w:val="17"/>
              </w:rPr>
              <w:t>Condition</w:t>
            </w:r>
          </w:p>
        </w:tc>
        <w:tc>
          <w:tcPr>
            <w:tcW w:type="dxa" w:w="1700"/>
            <w:vAlign w:val="center"/>
            <w:shd w:fill="EAF1F7"/>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b/>
                <w:color w:val="254F70"/>
                <w:sz w:val="17"/>
              </w:rPr>
              <w:t>Estimate</w:t>
            </w:r>
          </w:p>
        </w:tc>
        <w:tc>
          <w:tcPr>
            <w:tcW w:type="dxa" w:w="1700"/>
            <w:vAlign w:val="center"/>
            <w:shd w:fill="EAF1F7"/>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b/>
                <w:color w:val="254F70"/>
                <w:sz w:val="17"/>
              </w:rPr>
              <w:t>Truth</w:t>
            </w:r>
          </w:p>
        </w:tc>
        <w:tc>
          <w:tcPr>
            <w:tcW w:type="dxa" w:w="1700"/>
            <w:vAlign w:val="center"/>
            <w:shd w:fill="EAF1F7"/>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b/>
                <w:color w:val="254F70"/>
                <w:sz w:val="17"/>
              </w:rPr>
              <w:t>Factor error</w:t>
            </w:r>
          </w:p>
        </w:tc>
        <w:tc>
          <w:tcPr>
            <w:tcW w:type="dxa" w:w="1700"/>
            <w:vAlign w:val="center"/>
            <w:shd w:fill="EAF1F7"/>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b/>
                <w:color w:val="254F70"/>
                <w:sz w:val="17"/>
              </w:rPr>
              <w:t>Confidence within 25%</w:t>
            </w:r>
          </w:p>
        </w:tc>
      </w:tr>
      <w:tr>
        <w:tc>
          <w:tcPr>
            <w:tcW w:type="dxa" w:w="24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left"/>
            </w:pPr>
            <w:r>
              <w:rPr>
                <w:rFonts w:ascii="Arial" w:hAnsi="Arial"/>
                <w:sz w:val="16"/>
              </w:rPr>
              <w:t>grocery_receipts</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reflective</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2.18e+04</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218</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100.00x</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60%</w:t>
            </w:r>
          </w:p>
        </w:tc>
      </w:tr>
      <w:tr>
        <w:tc>
          <w:tcPr>
            <w:tcW w:type="dxa" w:w="24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left"/>
            </w:pPr>
            <w:r>
              <w:rPr>
                <w:rFonts w:ascii="Arial" w:hAnsi="Arial"/>
                <w:sz w:val="16"/>
              </w:rPr>
              <w:t>grocery_receipts</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direct</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2.18e+04</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218</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100.00x</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85%</w:t>
            </w:r>
          </w:p>
        </w:tc>
      </w:tr>
      <w:tr>
        <w:tc>
          <w:tcPr>
            <w:tcW w:type="dxa" w:w="24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left"/>
            </w:pPr>
            <w:r>
              <w:rPr>
                <w:rFonts w:ascii="Arial" w:hAnsi="Arial"/>
                <w:sz w:val="16"/>
              </w:rPr>
              <w:t>coffee_cups</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direct</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7.69e+07</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7.66e+06</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10.04x</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85%</w:t>
            </w:r>
          </w:p>
        </w:tc>
      </w:tr>
      <w:tr>
        <w:tc>
          <w:tcPr>
            <w:tcW w:type="dxa" w:w="24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left"/>
            </w:pPr>
            <w:r>
              <w:rPr>
                <w:rFonts w:ascii="Arial" w:hAnsi="Arial"/>
                <w:sz w:val="16"/>
              </w:rPr>
              <w:t>stadium_trash</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reflective</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1.14e+07</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1.14e+06</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10.00x</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65%</w:t>
            </w:r>
          </w:p>
        </w:tc>
      </w:tr>
      <w:tr>
        <w:tc>
          <w:tcPr>
            <w:tcW w:type="dxa" w:w="24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left"/>
            </w:pPr>
            <w:r>
              <w:rPr>
                <w:rFonts w:ascii="Arial" w:hAnsi="Arial"/>
                <w:sz w:val="16"/>
              </w:rPr>
              <w:t>clinic_gloves</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reflective</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3.88e+06</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3.88e+05</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10.00x</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85%</w:t>
            </w:r>
          </w:p>
        </w:tc>
      </w:tr>
    </w:tbl>
    <w:p/>
    <w:p>
      <w:pPr>
        <w:pStyle w:val="Heading1"/>
      </w:pPr>
      <w:r>
        <w:t>Smallest Errors</w:t>
      </w:r>
    </w:p>
    <w:tbl>
      <w:tblPr>
        <w:tblStyle w:val="TableGrid"/>
        <w:tblW w:type="dxa" w:w="13680"/>
        <w:jc w:val="left"/>
        <w:tblLayout w:type="fixed"/>
        <w:tblLook w:firstColumn="1" w:firstRow="1" w:lastColumn="0" w:lastRow="0" w:noHBand="0" w:noVBand="1" w:val="04A0"/>
      </w:tblPr>
      <w:tblGrid>
        <w:gridCol w:w="2280"/>
        <w:gridCol w:w="2280"/>
        <w:gridCol w:w="2280"/>
        <w:gridCol w:w="2280"/>
        <w:gridCol w:w="2280"/>
        <w:gridCol w:w="2280"/>
      </w:tblGrid>
      <w:tr>
        <w:tc>
          <w:tcPr>
            <w:tcW w:type="dxa" w:w="2400"/>
            <w:vAlign w:val="center"/>
            <w:shd w:fill="EAF1F7"/>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left"/>
            </w:pPr>
            <w:r>
              <w:rPr>
                <w:rFonts w:ascii="Arial" w:hAnsi="Arial"/>
                <w:b/>
                <w:color w:val="254F70"/>
                <w:sz w:val="17"/>
              </w:rPr>
              <w:t>Task</w:t>
            </w:r>
          </w:p>
        </w:tc>
        <w:tc>
          <w:tcPr>
            <w:tcW w:type="dxa" w:w="1700"/>
            <w:vAlign w:val="center"/>
            <w:shd w:fill="EAF1F7"/>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b/>
                <w:color w:val="254F70"/>
                <w:sz w:val="17"/>
              </w:rPr>
              <w:t>Condition</w:t>
            </w:r>
          </w:p>
        </w:tc>
        <w:tc>
          <w:tcPr>
            <w:tcW w:type="dxa" w:w="1700"/>
            <w:vAlign w:val="center"/>
            <w:shd w:fill="EAF1F7"/>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b/>
                <w:color w:val="254F70"/>
                <w:sz w:val="17"/>
              </w:rPr>
              <w:t>Estimate</w:t>
            </w:r>
          </w:p>
        </w:tc>
        <w:tc>
          <w:tcPr>
            <w:tcW w:type="dxa" w:w="1700"/>
            <w:vAlign w:val="center"/>
            <w:shd w:fill="EAF1F7"/>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b/>
                <w:color w:val="254F70"/>
                <w:sz w:val="17"/>
              </w:rPr>
              <w:t>Truth</w:t>
            </w:r>
          </w:p>
        </w:tc>
        <w:tc>
          <w:tcPr>
            <w:tcW w:type="dxa" w:w="1700"/>
            <w:vAlign w:val="center"/>
            <w:shd w:fill="EAF1F7"/>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b/>
                <w:color w:val="254F70"/>
                <w:sz w:val="17"/>
              </w:rPr>
              <w:t>Factor error</w:t>
            </w:r>
          </w:p>
        </w:tc>
        <w:tc>
          <w:tcPr>
            <w:tcW w:type="dxa" w:w="1700"/>
            <w:vAlign w:val="center"/>
            <w:shd w:fill="EAF1F7"/>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b/>
                <w:color w:val="254F70"/>
                <w:sz w:val="17"/>
              </w:rPr>
              <w:t>Confidence within 25%</w:t>
            </w:r>
          </w:p>
        </w:tc>
      </w:tr>
      <w:tr>
        <w:tc>
          <w:tcPr>
            <w:tcW w:type="dxa" w:w="24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left"/>
            </w:pPr>
            <w:r>
              <w:rPr>
                <w:rFonts w:ascii="Arial" w:hAnsi="Arial"/>
                <w:sz w:val="16"/>
              </w:rPr>
              <w:t>stadium_trash</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direct</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1.14e+06</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1.14e+06</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1.00x</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65%</w:t>
            </w:r>
          </w:p>
        </w:tc>
      </w:tr>
      <w:tr>
        <w:tc>
          <w:tcPr>
            <w:tcW w:type="dxa" w:w="24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left"/>
            </w:pPr>
            <w:r>
              <w:rPr>
                <w:rFonts w:ascii="Arial" w:hAnsi="Arial"/>
                <w:sz w:val="16"/>
              </w:rPr>
              <w:t>museum_steps</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direct</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5.54e+09</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5.54e+09</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1.00x</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60%</w:t>
            </w:r>
          </w:p>
        </w:tc>
      </w:tr>
      <w:tr>
        <w:tc>
          <w:tcPr>
            <w:tcW w:type="dxa" w:w="24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left"/>
            </w:pPr>
            <w:r>
              <w:rPr>
                <w:rFonts w:ascii="Arial" w:hAnsi="Arial"/>
                <w:sz w:val="16"/>
              </w:rPr>
              <w:t>warehouse_boxes</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direct</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1.24e+06</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1.24e+06</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1.00x</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90%</w:t>
            </w:r>
          </w:p>
        </w:tc>
      </w:tr>
      <w:tr>
        <w:tc>
          <w:tcPr>
            <w:tcW w:type="dxa" w:w="24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left"/>
            </w:pPr>
            <w:r>
              <w:rPr>
                <w:rFonts w:ascii="Arial" w:hAnsi="Arial"/>
                <w:sz w:val="16"/>
              </w:rPr>
              <w:t>warehouse_boxes</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reflective</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1.24e+06</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1.24e+06</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1.00x</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85%</w:t>
            </w:r>
          </w:p>
        </w:tc>
      </w:tr>
      <w:tr>
        <w:tc>
          <w:tcPr>
            <w:tcW w:type="dxa" w:w="24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left"/>
            </w:pPr>
            <w:r>
              <w:rPr>
                <w:rFonts w:ascii="Arial" w:hAnsi="Arial"/>
                <w:sz w:val="16"/>
              </w:rPr>
              <w:t>bus_fuel</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direct</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6.1e+05</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6.1e+05</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1.00x</w:t>
            </w:r>
          </w:p>
        </w:tc>
        <w:tc>
          <w:tcPr>
            <w:tcW w:type="dxa" w:w="1700"/>
            <w:vAlign w:val="center"/>
            <w:tcBorders>
              <w:top w:val="single" w:sz="6" w:space="0" w:color="D9DEE4"/>
              <w:left w:val="single" w:sz="6" w:space="0" w:color="D9DEE4"/>
              <w:bottom w:val="single" w:sz="6" w:space="0" w:color="D9DEE4"/>
              <w:right w:val="single" w:sz="6" w:space="0" w:color="D9DEE4"/>
              <w:insideH w:val="single" w:sz="6" w:space="0" w:color="D9DEE4"/>
              <w:insideV w:val="single" w:sz="6" w:space="0" w:color="D9DEE4"/>
            </w:tcBorders>
            <w:tcMar>
              <w:top w:w="90" w:type="dxa"/>
              <w:start w:w="110" w:type="dxa"/>
              <w:bottom w:w="90" w:type="dxa"/>
              <w:end w:w="110" w:type="dxa"/>
            </w:tcMar>
          </w:tcPr>
          <w:p>
            <w:pPr>
              <w:jc w:val="center"/>
            </w:pPr>
            <w:r>
              <w:rPr>
                <w:rFonts w:ascii="Arial" w:hAnsi="Arial"/>
                <w:sz w:val="16"/>
              </w:rPr>
              <w:t>65%</w:t>
            </w:r>
          </w:p>
        </w:tc>
      </w:tr>
    </w:tbl>
    <w:p/>
    <w:p>
      <w:pPr>
        <w:pStyle w:val="Heading1"/>
      </w:pPr>
      <w:r>
        <w:t>Interpretation</w:t>
      </w:r>
    </w:p>
    <w:p>
      <w:r>
        <w:rPr>
          <w:rFonts w:ascii="Arial" w:hAnsi="Arial"/>
        </w:rPr>
        <w:t>This experiment treats self-reported probabilities as the model's metacognitive judgments. Calibration is imperfect when stated confidence is much higher or lower than empirical hit rates. A model can be numerically accurate while still being metacognitively miscalibrated if its confidence does not track whether its own estimates are likely correct.</w:t>
      </w:r>
    </w:p>
    <w:p>
      <w:r>
        <w:rPr>
          <w:rFonts w:ascii="Arial" w:hAnsi="Arial"/>
        </w:rPr>
        <w:t>Limitations: the tasks are arithmetic-like Fermi scenarios rather than open-world estimates, the sample is small, and confidence reports are prompted text rather than a latent uncertainty measure. The findings should be read as behavior of this model under these prompts, not as a general claim about Gemini models.</w:t>
      </w:r>
    </w:p>
    <w:sectPr w:rsidR="00FC693F" w:rsidRPr="0006063C" w:rsidSect="00034616">
      <w:headerReference w:type="default" r:id="rId9"/>
      <w:footerReference w:type="default" r:id="rId10"/>
      <w:pgSz w:w="15840" w:h="12240" w:orient="landscape"/>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6B7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16B75"/>
        <w:sz w:val="16"/>
      </w:rPr>
      <w:t>AutoPsych metacognition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254F7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54F7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254F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54F7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Metacognition in google/gemini-3.1-flash-lite-preview</dc:title>
  <dc:subject>AutoPsych experimental report</dc:subject>
  <dc:creator>AutoPsych</dc:creator>
  <cp:keywords/>
  <dc:description>generated by python-docx</dc:description>
  <cp:lastModifiedBy/>
  <cp:revision>1</cp:revision>
  <dcterms:created xsi:type="dcterms:W3CDTF">2013-12-23T23:15:00Z</dcterms:created>
  <dcterms:modified xsi:type="dcterms:W3CDTF">2013-12-23T23:15:00Z</dcterms:modified>
  <cp:category/>
</cp:coreProperties>
</file>