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jc w:val="left"/>
      </w:pPr>
      <w:r>
        <w:rPr>
          <w:rFonts w:ascii="Arial" w:cs="Arial" w:eastAsia="Arial" w:hAnsi="Arial"/>
          <w:b/>
          <w:bCs/>
          <w:sz w:val="22"/>
          <w:szCs w:val="22"/>
        </w:rPr>
        <w:t xml:space="preserve">Gabriel T. Arce Jr.</w:t>
      </w:r>
    </w:p>
    <w:p>
      <w:pPr>
        <w:spacing w:after="60" w:line="300"/>
        <w:jc w:val="left"/>
      </w:pPr>
      <w:r>
        <w:rPr>
          <w:rFonts w:ascii="Arial" w:cs="Arial" w:eastAsia="Arial" w:hAnsi="Arial"/>
          <w:sz w:val="22"/>
          <w:szCs w:val="22"/>
        </w:rPr>
        <w:t xml:space="preserve">[Mailing address]</w:t>
      </w:r>
    </w:p>
    <w:p>
      <w:pPr>
        <w:spacing w:after="60" w:line="300"/>
        <w:jc w:val="left"/>
      </w:pPr>
      <w:r>
        <w:rPr>
          <w:rFonts w:ascii="Arial" w:cs="Arial" w:eastAsia="Arial" w:hAnsi="Arial"/>
          <w:sz w:val="22"/>
          <w:szCs w:val="22"/>
        </w:rPr>
        <w:t xml:space="preserve">[Email]   |   [Phone]</w:t>
      </w:r>
    </w:p>
    <w:p>
      <w:pPr>
        <w:spacing w:after="200" w:line="300"/>
        <w:jc w:val="left"/>
      </w:pPr>
      <w:r>
        <w:rPr>
          <w:rFonts w:ascii="Arial" w:cs="Arial" w:eastAsia="Arial" w:hAnsi="Arial"/>
          <w:sz w:val="22"/>
          <w:szCs w:val="22"/>
        </w:rPr>
        <w:t xml:space="preserve">[City, State]</w:t>
      </w:r>
    </w:p>
    <w:p>
      <w:pPr>
        <w:spacing w:after="360" w:line="300"/>
        <w:jc w:val="left"/>
      </w:pPr>
      <w:r>
        <w:rPr>
          <w:rFonts w:ascii="Arial" w:cs="Arial" w:eastAsia="Arial" w:hAnsi="Arial"/>
          <w:sz w:val="22"/>
          <w:szCs w:val="22"/>
        </w:rPr>
        <w:t xml:space="preserve">[Date]</w:t>
      </w:r>
    </w:p>
    <w:p>
      <w:pPr>
        <w:spacing w:after="60" w:line="300"/>
        <w:jc w:val="left"/>
      </w:pPr>
      <w:r>
        <w:rPr>
          <w:rFonts w:ascii="Arial" w:cs="Arial" w:eastAsia="Arial" w:hAnsi="Arial"/>
          <w:b/>
          <w:bCs/>
          <w:sz w:val="22"/>
          <w:szCs w:val="22"/>
        </w:rPr>
        <w:t xml:space="preserve">Cultural Resources Department</w:t>
      </w:r>
    </w:p>
    <w:p>
      <w:pPr>
        <w:spacing w:after="60" w:line="300"/>
        <w:jc w:val="left"/>
      </w:pPr>
      <w:r>
        <w:rPr>
          <w:rFonts w:ascii="Arial" w:cs="Arial" w:eastAsia="Arial" w:hAnsi="Arial"/>
          <w:b/>
          <w:bCs/>
          <w:sz w:val="22"/>
          <w:szCs w:val="22"/>
        </w:rPr>
        <w:t xml:space="preserve">Pascua Yaqui Tribe of Arizona</w:t>
      </w:r>
    </w:p>
    <w:p>
      <w:pPr>
        <w:spacing w:after="60" w:line="300"/>
        <w:jc w:val="left"/>
      </w:pPr>
      <w:r>
        <w:rPr>
          <w:rFonts w:ascii="Arial" w:cs="Arial" w:eastAsia="Arial" w:hAnsi="Arial"/>
          <w:sz w:val="22"/>
          <w:szCs w:val="22"/>
        </w:rPr>
        <w:t xml:space="preserve">7474 South Camino de Oeste</w:t>
      </w:r>
    </w:p>
    <w:p>
      <w:pPr>
        <w:spacing w:after="240" w:line="300"/>
        <w:jc w:val="left"/>
      </w:pPr>
      <w:r>
        <w:rPr>
          <w:rFonts w:ascii="Arial" w:cs="Arial" w:eastAsia="Arial" w:hAnsi="Arial"/>
          <w:sz w:val="22"/>
          <w:szCs w:val="22"/>
        </w:rPr>
        <w:t xml:space="preserve">Tucson, Arizona 85757</w:t>
      </w:r>
    </w:p>
    <w:p>
      <w:pPr>
        <w:spacing w:after="60" w:line="300"/>
        <w:jc w:val="left"/>
      </w:pPr>
      <w:r>
        <w:rPr>
          <w:rFonts w:ascii="Arial" w:cs="Arial" w:eastAsia="Arial" w:hAnsi="Arial"/>
          <w:i/>
          <w:iCs/>
          <w:sz w:val="22"/>
          <w:szCs w:val="22"/>
        </w:rPr>
        <w:t xml:space="preserve">cc: </w:t>
      </w:r>
      <w:r>
        <w:rPr>
          <w:rFonts w:ascii="Arial" w:cs="Arial" w:eastAsia="Arial" w:hAnsi="Arial"/>
          <w:i/>
          <w:iCs/>
          <w:sz w:val="22"/>
          <w:szCs w:val="22"/>
        </w:rPr>
        <w:t xml:space="preserve">Chairman Julian Hernandez, Pascua Yaqui Tribe of Arizona</w:t>
      </w:r>
    </w:p>
    <w:p>
      <w:pPr>
        <w:spacing w:after="360" w:line="300"/>
        <w:jc w:val="left"/>
      </w:pPr>
      <w:r>
        <w:rPr>
          <w:rFonts w:ascii="Arial" w:cs="Arial" w:eastAsia="Arial" w:hAnsi="Arial"/>
          <w:i/>
          <w:iCs/>
          <w:sz w:val="22"/>
          <w:szCs w:val="22"/>
        </w:rPr>
        <w:t xml:space="preserve">       </w:t>
      </w:r>
      <w:r>
        <w:rPr>
          <w:rFonts w:ascii="Arial" w:cs="Arial" w:eastAsia="Arial" w:hAnsi="Arial"/>
          <w:i/>
          <w:iCs/>
          <w:sz w:val="22"/>
          <w:szCs w:val="22"/>
        </w:rPr>
        <w:t xml:space="preserve">Peter Larson, Esq.</w:t>
      </w:r>
    </w:p>
    <w:p>
      <w:pPr>
        <w:spacing w:after="280" w:line="300"/>
        <w:jc w:val="left"/>
      </w:pPr>
      <w:r>
        <w:rPr>
          <w:rFonts w:ascii="Arial" w:cs="Arial" w:eastAsia="Arial" w:hAnsi="Arial"/>
          <w:b/>
          <w:bCs/>
          <w:sz w:val="22"/>
          <w:szCs w:val="22"/>
        </w:rPr>
        <w:t xml:space="preserve">Re: </w:t>
      </w:r>
      <w:r>
        <w:rPr>
          <w:rFonts w:ascii="Arial" w:cs="Arial" w:eastAsia="Arial" w:hAnsi="Arial"/>
          <w:sz w:val="22"/>
          <w:szCs w:val="22"/>
        </w:rPr>
        <w:t xml:space="preserve">Respectful Request for Guidance — Genealogical Research Concerning a Sonoran Indigenous Ancestor, Aviana Sagasta (c.1880s–1940s), San Javier and Surrounding Regions</w:t>
      </w:r>
    </w:p>
    <w:p>
      <w:pPr>
        <w:pBdr>
          <w:bottom w:val="single" w:color="7B1FA2" w:sz="6" w:space="6"/>
        </w:pBdr>
        <w:spacing w:after="200"/>
      </w:pPr>
    </w:p>
    <w:p>
      <w:pPr>
        <w:spacing w:after="240" w:line="300"/>
        <w:jc w:val="left"/>
      </w:pPr>
      <w:r>
        <w:rPr>
          <w:rFonts w:ascii="Arial" w:cs="Arial" w:eastAsia="Arial" w:hAnsi="Arial"/>
          <w:sz w:val="22"/>
          <w:szCs w:val="22"/>
        </w:rPr>
        <w:t xml:space="preserve">Dear Cultural Resources Department Staff:</w:t>
      </w:r>
    </w:p>
    <w:p>
      <w:pPr>
        <w:spacing w:after="160" w:line="300"/>
        <w:jc w:val="left"/>
      </w:pPr>
      <w:r>
        <w:rPr>
          <w:rFonts w:ascii="Arial" w:cs="Arial" w:eastAsia="Arial" w:hAnsi="Arial"/>
          <w:sz w:val="22"/>
          <w:szCs w:val="22"/>
        </w:rPr>
        <w:t xml:space="preserve">I am writing with respect and humility to introduce myself, to acknowledge the sovereignty of the Pascua Yaqui Tribe, and to ask your guidance on a question of family genealogical research. I am a descendant of an indigenous Sonoran woman, </w:t>
      </w:r>
      <w:r>
        <w:rPr>
          <w:rFonts w:ascii="Arial" w:cs="Arial" w:eastAsia="Arial" w:hAnsi="Arial"/>
          <w:b/>
          <w:bCs/>
          <w:sz w:val="22"/>
          <w:szCs w:val="22"/>
        </w:rPr>
        <w:t xml:space="preserve">Aviana Sagasta</w:t>
      </w:r>
      <w:r>
        <w:rPr>
          <w:rFonts w:ascii="Arial" w:cs="Arial" w:eastAsia="Arial" w:hAnsi="Arial"/>
          <w:sz w:val="22"/>
          <w:szCs w:val="22"/>
        </w:rPr>
        <w:t xml:space="preserve"> (also recorded as Avina or Abina), believed to have lived in or near the historic mining town of </w:t>
      </w:r>
      <w:r>
        <w:rPr>
          <w:rFonts w:ascii="Arial" w:cs="Arial" w:eastAsia="Arial" w:hAnsi="Arial"/>
          <w:b/>
          <w:bCs/>
          <w:sz w:val="22"/>
          <w:szCs w:val="22"/>
        </w:rPr>
        <w:t xml:space="preserve">San Javier, Sonora</w:t>
      </w:r>
      <w:r>
        <w:rPr>
          <w:rFonts w:ascii="Arial" w:cs="Arial" w:eastAsia="Arial" w:hAnsi="Arial"/>
          <w:sz w:val="22"/>
          <w:szCs w:val="22"/>
        </w:rPr>
        <w:t xml:space="preserve"> during the late 19th and early 20th centuries. My grandmother, María Manuela "Nela" Terminel Sagasta, was born in San Javier on August 7, 1910, and lived to the age of 101. The oral history that Nela transmitted to my family, including a family claim of Yaqui descent, is the original motivation for the research I have undertaken.</w:t>
      </w:r>
    </w:p>
    <w:p>
      <w:pPr>
        <w:spacing w:after="160" w:line="300"/>
        <w:jc w:val="left"/>
      </w:pPr>
      <w:r>
        <w:rPr>
          <w:rFonts w:ascii="Arial" w:cs="Arial" w:eastAsia="Arial" w:hAnsi="Arial"/>
          <w:sz w:val="22"/>
          <w:szCs w:val="22"/>
        </w:rPr>
        <w:t xml:space="preserve">I want to be candid with the Cultural Resources Department from the outset: </w:t>
      </w:r>
      <w:r>
        <w:rPr>
          <w:rFonts w:ascii="Arial" w:cs="Arial" w:eastAsia="Arial" w:hAnsi="Arial"/>
          <w:b/>
          <w:bCs/>
          <w:sz w:val="22"/>
          <w:szCs w:val="22"/>
        </w:rPr>
        <w:t xml:space="preserve">the specific tribal affiliation of my great-grandmother Aviana is not yet established with documentary certainty</w:t>
      </w:r>
      <w:r>
        <w:rPr>
          <w:rFonts w:ascii="Arial" w:cs="Arial" w:eastAsia="Arial" w:hAnsi="Arial"/>
          <w:sz w:val="22"/>
          <w:szCs w:val="22"/>
        </w:rPr>
        <w:t xml:space="preserve">. Our family has long believed her to be Yaqui, and a recent DNA analysis confirms indigenous maternal-line ancestry on the haplogroup B2 line, which is shared among Yaqui, Pima Bajo (Névome), Opata/Jova, Mayo, Tarahumara, and other Sonoran indigenous peoples. Independent historical assessment of our case file has noted that the geography of San Javier (Centro Costa region of Sonora) is more closely associated with Pima Bajo and Opata/Jova territory than with the lower Yaqui River pueblos, while also noting that Yaquis displaced during the 1902–1908 deportation era are documented to have assumed other identities and dispersed throughout Sonora. The question of Aviana's precise tribal affiliation may never be resolved with certainty, and I write to you not to claim Yaqui identity for her or for myself, but to seek your guidance on whether tribal memory or recorded oral history holds any references that bear on her life.</w:t>
      </w:r>
    </w:p>
    <w:p>
      <w:pPr>
        <w:spacing w:after="160" w:line="300"/>
        <w:jc w:val="left"/>
      </w:pPr>
      <w:r>
        <w:rPr>
          <w:rFonts w:ascii="Arial" w:cs="Arial" w:eastAsia="Arial" w:hAnsi="Arial"/>
          <w:sz w:val="22"/>
          <w:szCs w:val="22"/>
        </w:rPr>
        <w:t xml:space="preserve">I acknowledge fully that the records, oral histories, and cultural memory held by the Pascua Yaqui Tribe are </w:t>
      </w:r>
      <w:r>
        <w:rPr>
          <w:rFonts w:ascii="Arial" w:cs="Arial" w:eastAsia="Arial" w:hAnsi="Arial"/>
          <w:b/>
          <w:bCs/>
          <w:sz w:val="22"/>
          <w:szCs w:val="22"/>
        </w:rPr>
        <w:t xml:space="preserve">sovereign tribal resources</w:t>
      </w:r>
      <w:r>
        <w:rPr>
          <w:rFonts w:ascii="Arial" w:cs="Arial" w:eastAsia="Arial" w:hAnsi="Arial"/>
          <w:sz w:val="22"/>
          <w:szCs w:val="22"/>
        </w:rPr>
        <w:t xml:space="preserve"> subject entirely to the Tribe's own protocols, restrictions, and access decisions. I will defer completely to whatever guidance the Cultural Resources Department provides, including the response that materials are not available for outside inquiry. I will not represent any tribal connection on the basis of this letter alone, nor will I use the existence of this correspondence as evidence of any tribal-affiliation claim.</w:t>
      </w:r>
    </w:p>
    <w:p>
      <w:pPr>
        <w:spacing w:after="160" w:line="300"/>
        <w:jc w:val="left"/>
      </w:pPr>
      <w:r>
        <w:rPr>
          <w:rFonts w:ascii="Arial" w:cs="Arial" w:eastAsia="Arial" w:hAnsi="Arial"/>
          <w:b/>
          <w:bCs/>
          <w:sz w:val="22"/>
          <w:szCs w:val="22"/>
        </w:rPr>
        <w:t xml:space="preserve">With those acknowledgments in mind, the items on which I would gratefully welcome any guidance the Department can offer are:</w:t>
      </w:r>
    </w:p>
    <w:p>
      <w:pPr>
        <w:pStyle w:val="ListParagraph"/>
        <w:numPr>
          <w:ilvl w:val="0"/>
          <w:numId w:val="2"/>
        </w:numPr>
        <w:spacing w:after="140" w:line="300"/>
      </w:pPr>
      <w:r>
        <w:rPr>
          <w:rFonts w:ascii="Arial" w:cs="Arial" w:eastAsia="Arial" w:hAnsi="Arial"/>
          <w:sz w:val="22"/>
          <w:szCs w:val="22"/>
        </w:rPr>
        <w:t xml:space="preserve">Whether the Archive of Native American Recorded History (ANARÓ) or any other Pascua Yaqui-held oral history or archival collection contains references to the surnames "Terminel" or "Verminel" (a telegraphic variant), "Sagasta" (also recorded as Sagaste), or to the place name "San Javier, Sonora," for the period 1880–1940. I would also welcome the same inquiry regarding the names of five Mexican senators of the era who were forcibly removed from office on December 14, 1935 alongside Francisco L. Terminel: Manuel Riva Palacio, Bernardo L. Bandala, Eliseo Pérez Gómez, and Cristóbal Bon Bustamante.</w:t>
      </w:r>
    </w:p>
    <w:p>
      <w:pPr>
        <w:pStyle w:val="ListParagraph"/>
        <w:numPr>
          <w:ilvl w:val="0"/>
          <w:numId w:val="2"/>
        </w:numPr>
        <w:spacing w:after="140" w:line="300"/>
      </w:pPr>
      <w:r>
        <w:rPr>
          <w:rFonts w:ascii="Arial" w:cs="Arial" w:eastAsia="Arial" w:hAnsi="Arial"/>
          <w:sz w:val="22"/>
          <w:szCs w:val="22"/>
        </w:rPr>
        <w:t xml:space="preserve">Whether the Cultural Resources Department maintains, or can recommend, a protocol for descendants of indigenous Sonoran ancestors whose tribal affiliation is uncertain or undocumented, who wish to research family history in a manner that respects both tribal sovereignty and the historical reality that many indigenous identities were concealed under mestizo or Spanish-surname classifications during the Porfiriato and the early 20th century.</w:t>
      </w:r>
    </w:p>
    <w:p>
      <w:pPr>
        <w:pStyle w:val="ListParagraph"/>
        <w:numPr>
          <w:ilvl w:val="0"/>
          <w:numId w:val="2"/>
        </w:numPr>
        <w:spacing w:after="140" w:line="300"/>
      </w:pPr>
      <w:r>
        <w:rPr>
          <w:rFonts w:ascii="Arial" w:cs="Arial" w:eastAsia="Arial" w:hAnsi="Arial"/>
          <w:sz w:val="22"/>
          <w:szCs w:val="22"/>
        </w:rPr>
        <w:t xml:space="preserve">Whether the Department has any guidance on appropriate institutional partners on the Sonoran side of the border (such as El Colegio de Sonora, Universidad de Sonora, INAH Sonora, or specific community-recognized historians such as Dr. Raquel Padilla Ramos) whose work the Department considers responsible and appropriate to engage in this kind of research.</w:t>
      </w:r>
    </w:p>
    <w:p>
      <w:pPr>
        <w:pStyle w:val="ListParagraph"/>
        <w:numPr>
          <w:ilvl w:val="0"/>
          <w:numId w:val="2"/>
        </w:numPr>
        <w:spacing w:after="240" w:line="300"/>
      </w:pPr>
      <w:r>
        <w:rPr>
          <w:rFonts w:ascii="Arial" w:cs="Arial" w:eastAsia="Arial" w:hAnsi="Arial"/>
          <w:sz w:val="22"/>
          <w:szCs w:val="22"/>
        </w:rPr>
        <w:t xml:space="preserve">Whether the Department wishes any findings from my research that bear on Yaqui history, regardless of how they relate to my own family, to be shared back with the Department upon completion. I would consider that act of return-of-findings, if welcomed, to be an essential part of conducting this research ethically.</w:t>
      </w:r>
    </w:p>
    <w:p>
      <w:pPr>
        <w:spacing w:after="160" w:line="300"/>
        <w:jc w:val="left"/>
      </w:pPr>
      <w:r>
        <w:rPr>
          <w:rFonts w:ascii="Arial" w:cs="Arial" w:eastAsia="Arial" w:hAnsi="Arial"/>
          <w:sz w:val="22"/>
          <w:szCs w:val="22"/>
        </w:rPr>
        <w:t xml:space="preserve">For context: my research extends beyond Aviana herself to the broader institutional and economic systems within which her life unfolded. The same investigation has surfaced documented historical questions concerning Wells Fargo &amp; Co. Express' role in moving Sonoran silver bullion to U.S. refineries during the same decades in which the Yaqui deportation campaigns under Governor Rafael Izábal (1903–1907) displaced an estimated 8,000–15,000 Yaqui people to the Yucatán henequen plantations. I am aware that this is the foundational human-rights atrocity of the period, as documented in John Kenneth Turner's </w:t>
      </w:r>
      <w:r>
        <w:rPr>
          <w:rFonts w:ascii="Arial" w:cs="Arial" w:eastAsia="Arial" w:hAnsi="Arial"/>
          <w:i/>
          <w:iCs/>
          <w:sz w:val="22"/>
          <w:szCs w:val="22"/>
        </w:rPr>
        <w:t xml:space="preserve">Barbarous Mexico</w:t>
      </w:r>
      <w:r>
        <w:rPr>
          <w:rFonts w:ascii="Arial" w:cs="Arial" w:eastAsia="Arial" w:hAnsi="Arial"/>
          <w:sz w:val="22"/>
          <w:szCs w:val="22"/>
        </w:rPr>
        <w:t xml:space="preserve"> (1910) and in the scholarly work of Edward Spicer, Evelyn Hu-DeHart, and others. I do not write to you to extract that history. I write because my own family's smaller, family-level story may sit at the edge of that vastly larger history, and I want to be sure that whatever I find and however I write about it is consistent with what the Yaqui community itself would consider truthful and respectful.</w:t>
      </w:r>
    </w:p>
    <w:p>
      <w:pPr>
        <w:spacing w:after="160" w:line="300"/>
        <w:jc w:val="left"/>
      </w:pPr>
      <w:r>
        <w:rPr>
          <w:rFonts w:ascii="Arial" w:cs="Arial" w:eastAsia="Arial" w:hAnsi="Arial"/>
          <w:b/>
          <w:bCs/>
          <w:sz w:val="22"/>
          <w:szCs w:val="22"/>
        </w:rPr>
        <w:t xml:space="preserve">My specific commitments to the Cultural Resources Department and to the Pascua Yaqui Tribe are:</w:t>
      </w:r>
    </w:p>
    <w:p>
      <w:pPr>
        <w:pStyle w:val="ListParagraph"/>
        <w:numPr>
          <w:ilvl w:val="0"/>
          <w:numId w:val="2"/>
        </w:numPr>
        <w:spacing w:after="140" w:line="300"/>
      </w:pPr>
      <w:r>
        <w:rPr>
          <w:rFonts w:ascii="Arial" w:cs="Arial" w:eastAsia="Arial" w:hAnsi="Arial"/>
          <w:sz w:val="22"/>
          <w:szCs w:val="22"/>
        </w:rPr>
        <w:t xml:space="preserve">I will use no restricted materials. If a search returns results that the Department classifies as restricted, I will treat that classification as final and will not seek workarounds.</w:t>
      </w:r>
    </w:p>
    <w:p>
      <w:pPr>
        <w:pStyle w:val="ListParagraph"/>
        <w:numPr>
          <w:ilvl w:val="0"/>
          <w:numId w:val="2"/>
        </w:numPr>
        <w:spacing w:after="140" w:line="300"/>
      </w:pPr>
      <w:r>
        <w:rPr>
          <w:rFonts w:ascii="Arial" w:cs="Arial" w:eastAsia="Arial" w:hAnsi="Arial"/>
          <w:sz w:val="22"/>
          <w:szCs w:val="22"/>
        </w:rPr>
        <w:t xml:space="preserve">I will not represent the Pascua Yaqui Tribe, claim Pascua Yaqui membership or descent, or invoke this correspondence as endorsement of any genealogical conclusion.</w:t>
      </w:r>
    </w:p>
    <w:p>
      <w:pPr>
        <w:pStyle w:val="ListParagraph"/>
        <w:numPr>
          <w:ilvl w:val="0"/>
          <w:numId w:val="2"/>
        </w:numPr>
        <w:spacing w:after="140" w:line="300"/>
      </w:pPr>
      <w:r>
        <w:rPr>
          <w:rFonts w:ascii="Arial" w:cs="Arial" w:eastAsia="Arial" w:hAnsi="Arial"/>
          <w:sz w:val="22"/>
          <w:szCs w:val="22"/>
        </w:rPr>
        <w:t xml:space="preserve">I will share findings back with the Department, in whatever form the Department prefers, before any public use of those findings.</w:t>
      </w:r>
    </w:p>
    <w:p>
      <w:pPr>
        <w:pStyle w:val="ListParagraph"/>
        <w:numPr>
          <w:ilvl w:val="0"/>
          <w:numId w:val="2"/>
        </w:numPr>
        <w:spacing w:after="140" w:line="300"/>
      </w:pPr>
      <w:r>
        <w:rPr>
          <w:rFonts w:ascii="Arial" w:cs="Arial" w:eastAsia="Arial" w:hAnsi="Arial"/>
          <w:sz w:val="22"/>
          <w:szCs w:val="22"/>
        </w:rPr>
        <w:t xml:space="preserve">I will follow whatever Department-recommended timeline, protocol, fee structure, or research-supervision arrangement the Department considers appropriate.</w:t>
      </w:r>
    </w:p>
    <w:p>
      <w:pPr>
        <w:pStyle w:val="ListParagraph"/>
        <w:numPr>
          <w:ilvl w:val="0"/>
          <w:numId w:val="2"/>
        </w:numPr>
        <w:spacing w:after="240" w:line="300"/>
      </w:pPr>
      <w:r>
        <w:rPr>
          <w:rFonts w:ascii="Arial" w:cs="Arial" w:eastAsia="Arial" w:hAnsi="Arial"/>
          <w:sz w:val="22"/>
          <w:szCs w:val="22"/>
        </w:rPr>
        <w:t xml:space="preserve">I will accept the response that no inquiry is appropriate or welcome at this time, and will not reapproach the Department on this matter without invitation.</w:t>
      </w:r>
    </w:p>
    <w:p>
      <w:pPr>
        <w:spacing w:after="160" w:line="300"/>
        <w:jc w:val="left"/>
      </w:pPr>
      <w:r>
        <w:rPr>
          <w:rFonts w:ascii="Arial" w:cs="Arial" w:eastAsia="Arial" w:hAnsi="Arial"/>
          <w:sz w:val="22"/>
          <w:szCs w:val="22"/>
        </w:rPr>
        <w:t xml:space="preserve">I am grateful for any guidance you can provide and grateful in any event for the time taken to read this letter. The Pascua Yaqui Tribe's long defense of memory, language, and sovereignty against more than a century of attempted erasure is itself the framework within which I am trying to learn whether and how my own family's small piece of that history may fit. I welcome correction wherever I have framed something incorrectly in this letter.</w:t>
      </w:r>
    </w:p>
    <w:p>
      <w:pPr>
        <w:spacing w:after="720" w:line="300"/>
        <w:jc w:val="left"/>
      </w:pPr>
      <w:r>
        <w:rPr>
          <w:rFonts w:ascii="Arial" w:cs="Arial" w:eastAsia="Arial" w:hAnsi="Arial"/>
          <w:sz w:val="22"/>
          <w:szCs w:val="22"/>
        </w:rPr>
        <w:t xml:space="preserve">With respect,</w:t>
      </w:r>
    </w:p>
    <w:p>
      <w:pPr>
        <w:spacing w:after="60" w:line="300"/>
        <w:jc w:val="left"/>
      </w:pPr>
      <w:r>
        <w:rPr>
          <w:rFonts w:ascii="Arial" w:cs="Arial" w:eastAsia="Arial" w:hAnsi="Arial"/>
          <w:b/>
          <w:bCs/>
          <w:sz w:val="22"/>
          <w:szCs w:val="22"/>
        </w:rPr>
        <w:t xml:space="preserve">Gabriel T. Arce Jr.</w:t>
      </w:r>
    </w:p>
    <w:p>
      <w:pPr>
        <w:spacing w:after="60" w:line="300"/>
        <w:jc w:val="left"/>
      </w:pPr>
      <w:r>
        <w:rPr>
          <w:rFonts w:ascii="Arial" w:cs="Arial" w:eastAsia="Arial" w:hAnsi="Arial"/>
          <w:sz w:val="22"/>
          <w:szCs w:val="22"/>
        </w:rPr>
        <w:t xml:space="preserve">Great-grandson of Francisco L. Terminel and Aviana Sagasta</w:t>
      </w:r>
    </w:p>
    <w:p>
      <w:pPr>
        <w:spacing w:after="360" w:line="300"/>
        <w:jc w:val="left"/>
      </w:pPr>
      <w:r>
        <w:rPr>
          <w:rFonts w:ascii="Arial" w:cs="Arial" w:eastAsia="Arial" w:hAnsi="Arial"/>
          <w:sz w:val="22"/>
          <w:szCs w:val="22"/>
        </w:rPr>
        <w:t xml:space="preserve">Independent genealogical researcher</w:t>
      </w:r>
    </w:p>
    <w:p>
      <w:pPr>
        <w:pBdr>
          <w:bottom w:val="single" w:color="7B1FA2" w:sz="6" w:space="6"/>
        </w:pBdr>
        <w:spacing w:after="200"/>
      </w:pPr>
    </w:p>
    <w:p>
      <w:pPr>
        <w:spacing w:after="100" w:line="300"/>
        <w:jc w:val="left"/>
      </w:pPr>
      <w:r>
        <w:rPr>
          <w:rFonts w:ascii="Arial" w:cs="Arial" w:eastAsia="Arial" w:hAnsi="Arial"/>
          <w:b/>
          <w:bCs/>
          <w:i/>
          <w:iCs/>
          <w:sz w:val="20"/>
          <w:szCs w:val="20"/>
        </w:rPr>
        <w:t xml:space="preserve">Internal note (not to be sent — for sender's reference only):</w:t>
      </w:r>
    </w:p>
    <w:p>
      <w:pPr>
        <w:spacing w:after="160" w:line="300"/>
        <w:jc w:val="left"/>
      </w:pPr>
      <w:r>
        <w:rPr>
          <w:rFonts w:ascii="Arial" w:cs="Arial" w:eastAsia="Arial" w:hAnsi="Arial"/>
          <w:i/>
          <w:iCs/>
          <w:sz w:val="20"/>
          <w:szCs w:val="20"/>
        </w:rPr>
        <w:t xml:space="preserve">The contact information for Chairman Julian Hernandez and counsel Peter Larson, Esq. is drawn from the National Indian Gaming Commission letter of August 30, 2024 (HMKP-117-AP00; signed by Acting General Counsel Rea Cisneros). Confirm current officeholders before mailing — tribal leadership may have changed. The Cultural Resources Department is the routing point per standard tribal-sovereign archival protocol. If the Department's preferred intake method is electronic, a brief email to the Department (requesting the appropriate intake address before sending the full letter) is a courteous first step.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2026-05-20T07:10:36.171Z</dcterms:created>
  <dcterms:modified xsi:type="dcterms:W3CDTF">2026-05-20T07:10:36.171Z</dcterms:modified>
</cp:coreProperties>
</file>

<file path=docProps/custom.xml><?xml version="1.0" encoding="utf-8"?>
<Properties xmlns="http://schemas.openxmlformats.org/officeDocument/2006/custom-properties" xmlns:vt="http://schemas.openxmlformats.org/officeDocument/2006/docPropsVTypes"/>
</file>