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olor w:val="111111"/>
          <w:sz w:val="30"/>
          <w:szCs w:val="30"/>
        </w:rPr>
        <w:t xml:space="preserve">AI Governance Tool: Meridian</w:t>
      </w:r>
    </w:p>
    <w:p>
      <w:pPr>
        <w:spacing w:after="420" w:before="0"/>
        <w:jc w:val="center"/>
      </w:pPr>
      <w:r>
        <w:rPr>
          <w:rFonts w:ascii="Times New Roman" w:cs="Times New Roman" w:eastAsia="Times New Roman" w:hAnsi="Times New Roman"/>
          <w:color w:val="888888"/>
          <w:sz w:val="20"/>
          <w:szCs w:val="20"/>
        </w:rPr>
        <w:t xml:space="preserve">Governance Analysis · LGST 2420: Big Data, Big Responsibilities · Professor Werbach</w:t>
      </w:r>
    </w:p>
    <w:p>
      <w:pPr>
        <w:spacing w:after="140" w:before="320"/>
      </w:pPr>
      <w:r>
        <w:rPr>
          <w:rFonts w:ascii="Times New Roman" w:cs="Times New Roman" w:eastAsia="Times New Roman" w:hAnsi="Times New Roman"/>
          <w:b/>
          <w:bCs/>
          <w:caps/>
          <w:color w:val="111111"/>
          <w:sz w:val="24"/>
          <w:szCs w:val="24"/>
        </w:rPr>
        <w:t xml:space="preserve">I.  The Governance Problem</w:t>
      </w:r>
    </w:p>
    <w:p>
      <w:pPr>
        <w:spacing w:after="0" w:line="480" w:lineRule="auto"/>
        <w:jc w:val="both"/>
      </w:pPr>
      <w:r>
        <w:rPr>
          <w:rFonts w:ascii="Times New Roman" w:cs="Times New Roman" w:eastAsia="Times New Roman" w:hAnsi="Times New Roman"/>
          <w:color w:val="111111"/>
          <w:sz w:val="22"/>
          <w:szCs w:val="22"/>
        </w:rPr>
        <w:t xml:space="preserve">Meridian addresses four governance failures that existing organizational AI programs consistently fail to manage: algorithmic opacity, the agentic governance gap, undetected demographic bias, and the organizational capacity gap. Each requires a distinct technical response.</w:t>
      </w:r>
    </w:p>
    <w:p>
      <w:pPr>
        <w:spacing w:after="0" w:line="480" w:lineRule="auto"/>
        <w:ind w:firstLine="720"/>
        <w:jc w:val="both"/>
      </w:pPr>
      <w:r>
        <w:rPr>
          <w:rFonts w:ascii="Times New Roman" w:cs="Times New Roman" w:eastAsia="Times New Roman" w:hAnsi="Times New Roman"/>
          <w:color w:val="111111"/>
          <w:sz w:val="22"/>
          <w:szCs w:val="22"/>
        </w:rPr>
        <w:t xml:space="preserve">Three capabilities address algorithmic opacity: the AI Registry, Bias Audit, and NIST Trustworthiness Assessment. Houston Federation of Teachers v. HISD (2017) established the legal stakes: AI systems whose reasoning cannot be independently examined may violate procedural due process when consequential decisions depend on their outputs. EVAAS scores were "a mysterious black box, impervious to challenge." The course video "Algorithmic Transparency" identifies three required levels: awareness, disclosure, and understanding sufficient to challenge outputs. The Registry assigns each system a risk score, compliance status, model card, and audit trail. The Bias Audit runs demographic parity tests using the Bertrand-Mullainathan methodology and computes the EEOC 4/5 adverse impact ratio. The NIST Trustworthiness Assessment evaluates each system against all seven NIST AI RMF characteristics, producing independently examinable outputs that satisfy the third transparency level.</w:t>
      </w:r>
    </w:p>
    <w:p>
      <w:pPr>
        <w:spacing w:after="0" w:line="480" w:lineRule="auto"/>
        <w:ind w:firstLine="720"/>
        <w:jc w:val="both"/>
      </w:pPr>
      <w:r>
        <w:rPr>
          <w:rFonts w:ascii="Times New Roman" w:cs="Times New Roman" w:eastAsia="Times New Roman" w:hAnsi="Times New Roman"/>
          <w:color w:val="111111"/>
          <w:sz w:val="22"/>
          <w:szCs w:val="22"/>
        </w:rPr>
        <w:t xml:space="preserve">The Agent Monitor addresses the agentic governance gap. Barndoor.ai's 2026 survey finds that 30% of professionals now use AI that takes autonomous actions; one in three has connected AI to work email and one in ten to developer credentials. The DealMaker scenario from Class 4 made this risk concrete: when AI agents act rather than advise, accountability for those actions becomes structurally unavailable without runtime governance. The Agent Monitor tracks agents across four autonomy levels, computes AgentDNA fingerprint scores using Jensen-Shannon divergence from behavioral baselines, and enforces kill switches when violations are detected.</w:t>
      </w:r>
    </w:p>
    <w:p>
      <w:pPr>
        <w:spacing w:after="0" w:line="480" w:lineRule="auto"/>
        <w:ind w:firstLine="720"/>
        <w:jc w:val="both"/>
      </w:pPr>
      <w:r>
        <w:rPr>
          <w:rFonts w:ascii="Times New Roman" w:cs="Times New Roman" w:eastAsia="Times New Roman" w:hAnsi="Times New Roman"/>
          <w:color w:val="111111"/>
          <w:sz w:val="22"/>
          <w:szCs w:val="22"/>
        </w:rPr>
        <w:t xml:space="preserve">The Bias Audit addresses demographic bias, which produces the most immediate enforcement exposure. The course videos "Algorithmic Fairness" and "Sources of Bias" establish that different fairness definitions are mathematically incompatible and that training data, feature selection, and objective function misspecification each introduce disparate outcomes. ProPublica's COMPAS investigation demonstrated that satisfying overall accuracy can simultaneously produce racially disparate false positive rates; the Brookings Institution establishes that this cannot be corrected without first defining which fairness metric applies. The Bias Audit surfaces these disparities before enforcement, measuring demographic parity gaps and computing the EEOC 4/5 adverse impact ratio across protected groups.</w:t>
      </w:r>
    </w:p>
    <w:p>
      <w:pPr>
        <w:spacing w:after="0" w:line="480" w:lineRule="auto"/>
        <w:ind w:firstLine="720"/>
        <w:jc w:val="both"/>
      </w:pPr>
      <w:r>
        <w:rPr>
          <w:rFonts w:ascii="Times New Roman" w:cs="Times New Roman" w:eastAsia="Times New Roman" w:hAnsi="Times New Roman"/>
          <w:color w:val="111111"/>
          <w:sz w:val="22"/>
          <w:szCs w:val="22"/>
        </w:rPr>
        <w:t xml:space="preserve">The AI Governance Advisor addresses the organizational capacity gap, which underlies all three preceding failures. NIST's Govern function is the prerequisite for the entire AI RMF: without it, organizations cannot Map, Measure, or Manage AI risk. Barndoor.ai finds that 78% operate without even this foundation. The Advisor provides live conversational access to Claude, configured with the NIST framework and the organization's live posture, generating policy-as-code and surfacing unknown obligations, and completing the NIST AI RMF's Govern, Map, Measure, and Manage sequence.</w:t>
      </w:r>
    </w:p>
    <w:p>
      <w:pPr>
        <w:spacing w:after="140" w:before="320"/>
      </w:pPr>
      <w:r>
        <w:rPr>
          <w:rFonts w:ascii="Times New Roman" w:cs="Times New Roman" w:eastAsia="Times New Roman" w:hAnsi="Times New Roman"/>
          <w:b/>
          <w:bCs/>
          <w:caps/>
          <w:color w:val="111111"/>
          <w:sz w:val="24"/>
          <w:szCs w:val="24"/>
        </w:rPr>
        <w:t xml:space="preserve">II.  Effectiveness</w:t>
      </w:r>
    </w:p>
    <w:p>
      <w:pPr>
        <w:spacing w:after="0" w:line="480" w:lineRule="auto"/>
        <w:jc w:val="both"/>
      </w:pPr>
      <w:r>
        <w:rPr>
          <w:rFonts w:ascii="Times New Roman" w:cs="Times New Roman" w:eastAsia="Times New Roman" w:hAnsi="Times New Roman"/>
          <w:color w:val="111111"/>
          <w:sz w:val="22"/>
          <w:szCs w:val="22"/>
        </w:rPr>
        <w:t xml:space="preserve">Each module catches a category of governance failure that conventional compliance programs miss. The Bias Audit catches name-activated demographic disparities in AI outputs: approval rate gaps, scoring differences, and outcome variations across racial and gender groups holding all other inputs constant. The Registry catches shadow AI through integration with usage telemetry from OpenAI and Anthropic APIs, surfacing ungoverned models before enforcement. The Agent Monitor catches behavioral drift through continuous AgentDNA fingerprinting, identifying when an agent's action distribution diverges from its baseline before violations accumulate to harmful scale. The Advisor catches unknown compliance obligations, producing regulatory citations, gap analyses, and policy-as-code from natural language queries.</w:t>
      </w:r>
    </w:p>
    <w:p>
      <w:pPr>
        <w:spacing w:after="0" w:line="480" w:lineRule="auto"/>
        <w:ind w:firstLine="720"/>
        <w:jc w:val="both"/>
      </w:pPr>
      <w:r>
        <w:rPr>
          <w:rFonts w:ascii="Times New Roman" w:cs="Times New Roman" w:eastAsia="Times New Roman" w:hAnsi="Times New Roman"/>
          <w:color w:val="111111"/>
          <w:sz w:val="22"/>
          <w:szCs w:val="22"/>
        </w:rPr>
        <w:t xml:space="preserve">Each detection method is bounded by the assumptions it encodes. The Bias Audit tests name-activated cues; it does not detect structural bias encoded in feature proxies such as zip code for race. The Agent Monitor flags drift from a behavioral baseline; it does not assess whether that baseline is itself harmful. The Advisor's citations are not verified against primary sources before delivery.</w:t>
      </w:r>
    </w:p>
    <w:p>
      <w:pPr>
        <w:spacing w:after="140" w:before="320"/>
      </w:pPr>
      <w:r>
        <w:rPr>
          <w:rFonts w:ascii="Times New Roman" w:cs="Times New Roman" w:eastAsia="Times New Roman" w:hAnsi="Times New Roman"/>
          <w:b/>
          <w:bCs/>
          <w:caps/>
          <w:color w:val="111111"/>
          <w:sz w:val="24"/>
          <w:szCs w:val="24"/>
        </w:rPr>
        <w:t xml:space="preserve">III.  Tradeoffs</w:t>
      </w:r>
    </w:p>
    <w:p>
      <w:pPr>
        <w:spacing w:after="0" w:line="480" w:lineRule="auto"/>
        <w:jc w:val="both"/>
      </w:pPr>
      <w:r>
        <w:rPr>
          <w:rFonts w:ascii="Times New Roman" w:cs="Times New Roman" w:eastAsia="Times New Roman" w:hAnsi="Times New Roman"/>
          <w:color w:val="111111"/>
          <w:sz w:val="22"/>
          <w:szCs w:val="22"/>
        </w:rPr>
        <w:t xml:space="preserve">Three tradeoffs follow from Meridian's design. The first is an accessibility-accuracy tension: the quality that makes the Advisor valuable, conversational access to regulatory knowledge, also makes its errors most consequential. Organizations without in-house compliance expertise, the organizations the Advisor most directly serves, also lack the capacity to detect when the Advisor confabulates a regulatory citation or references superseded guidance. Democratizing governance access also democratizes the exposure created by bad governance advice.</w:t>
      </w:r>
    </w:p>
    <w:p>
      <w:pPr>
        <w:spacing w:after="0" w:line="480" w:lineRule="auto"/>
        <w:ind w:firstLine="720"/>
        <w:jc w:val="both"/>
      </w:pPr>
      <w:r>
        <w:rPr>
          <w:rFonts w:ascii="Times New Roman" w:cs="Times New Roman" w:eastAsia="Times New Roman" w:hAnsi="Times New Roman"/>
          <w:color w:val="111111"/>
          <w:sz w:val="22"/>
          <w:szCs w:val="22"/>
        </w:rPr>
        <w:t xml:space="preserve">Policy-as-code generation surfaces a second tension, between speed and deliberation. Converting a governance requirement to enforcement logic in seconds closes the Map-to-Manage gap faster, which is genuine value. It also eliminates the deliberative process that makes governance legitimate rather than merely documented. NIST's Govern function presupposes stakeholder engagement, legal review, organizational sign-off, and cultural buy-in as preconditions for effective governance. A policy generated by the Advisor substitutes for none of those steps.</w:t>
      </w:r>
    </w:p>
    <w:p>
      <w:pPr>
        <w:spacing w:after="0" w:line="480" w:lineRule="auto"/>
        <w:ind w:firstLine="720"/>
        <w:jc w:val="both"/>
      </w:pPr>
      <w:r>
        <w:rPr>
          <w:rFonts w:ascii="Times New Roman" w:cs="Times New Roman" w:eastAsia="Times New Roman" w:hAnsi="Times New Roman"/>
          <w:color w:val="111111"/>
          <w:sz w:val="22"/>
          <w:szCs w:val="22"/>
        </w:rPr>
        <w:t xml:space="preserve">The third tradeoff, between documentation production and substantive organizational commitment, is the most convenient to ignore. An Advisor that makes EU AI Act Article 9 documentation faster to produce also makes compliance theater more accessible. Organizations can generate compliant-looking records without the organizational commitment NIST identifies as prerequisite for the Govern function. The "Governing AI" video identifies labels and disclosures as valuable but insufficient without organizational accountability structures. The Advisor accelerates both genuine compliance and its simulation equally.</w:t>
      </w:r>
    </w:p>
    <w:p>
      <w:pPr>
        <w:spacing w:after="140" w:before="320"/>
      </w:pPr>
      <w:r>
        <w:rPr>
          <w:rFonts w:ascii="Times New Roman" w:cs="Times New Roman" w:eastAsia="Times New Roman" w:hAnsi="Times New Roman"/>
          <w:b/>
          <w:bCs/>
          <w:caps/>
          <w:color w:val="111111"/>
          <w:sz w:val="24"/>
          <w:szCs w:val="24"/>
        </w:rPr>
        <w:t xml:space="preserve">IV.  Limitations, Failure Modes, and Own Governance Blind Spots</w:t>
      </w:r>
    </w:p>
    <w:p>
      <w:pPr>
        <w:spacing w:after="0" w:line="480" w:lineRule="auto"/>
        <w:ind w:firstLine="720"/>
        <w:jc w:val="both"/>
      </w:pPr>
      <w:r>
        <w:rPr>
          <w:rFonts w:ascii="Times New Roman" w:cs="Times New Roman" w:eastAsia="Times New Roman" w:hAnsi="Times New Roman"/>
          <w:color w:val="111111"/>
          <w:sz w:val="22"/>
          <w:szCs w:val="22"/>
        </w:rPr>
        <w:t xml:space="preserve">Regulatory confabulation is the Advisor's first failure mode. The course video "Algorithmic Transparency" distinguishes awareness, disclosure, and understanding. The Advisor achieves disclosure: it communicates regulatory information. Unlike the Registry and Bias Audit, which produce measured, auditable outputs, the Advisor cannot achieve understanding. Large language models generate text calibrated for fluency within their training distribution, with no internal mechanism distinguishing accurate regulatory content from plausible content generated by pattern completion. A compliance analyst receiving a formatted EU AI Act citation has no mechanism to assess its accuracy, and the organizations most dependent on the Advisor are those least equipped to detect when its citations are wrong.</w:t>
      </w:r>
    </w:p>
    <w:p>
      <w:pPr>
        <w:spacing w:after="0" w:line="480" w:lineRule="auto"/>
        <w:ind w:firstLine="720"/>
        <w:jc w:val="both"/>
      </w:pPr>
      <w:r>
        <w:rPr>
          <w:rFonts w:ascii="Times New Roman" w:cs="Times New Roman" w:eastAsia="Times New Roman" w:hAnsi="Times New Roman"/>
          <w:color w:val="111111"/>
          <w:sz w:val="22"/>
          <w:szCs w:val="22"/>
        </w:rPr>
        <w:t xml:space="preserve">A second failure is the accountability absence that Houston Federation of Teachers v. HISD (2017) identified as constitutionally problematic. The court held that procedural due process was violated because, without access to the underlying equations and source codes, EVAAS scores were "a mysterious black box, impervious to challenge." The Advisor has the same property. It maintains no audit trail of the governance advice it provides. An organization that acts on Meridian's recommendations and later discovers the advice was wrong has no record of what guidance was given, no mechanism to reconstruct how it influenced decisions, and no organizational role accountable for the outcome. NIST's Accountable and Transparent characteristic states that "trustworthy AI depends upon accountability" and "accountability presupposes transparency." The Advisor satisfies neither.</w:t>
      </w:r>
    </w:p>
    <w:p>
      <w:pPr>
        <w:spacing w:after="0" w:line="480" w:lineRule="auto"/>
        <w:ind w:firstLine="720"/>
        <w:jc w:val="both"/>
      </w:pPr>
      <w:r>
        <w:rPr>
          <w:rFonts w:ascii="Times New Roman" w:cs="Times New Roman" w:eastAsia="Times New Roman" w:hAnsi="Times New Roman"/>
          <w:color w:val="111111"/>
          <w:sz w:val="22"/>
          <w:szCs w:val="22"/>
        </w:rPr>
        <w:t xml:space="preserve">The deepest limitation is the Advisor's own governance blind spots: it is a governance tool that is itself ungoverned. Meridian does not maintain version control on its guidance; regulatory requirements change quarterly with no mechanism to flag updates to organizations that relied on prior advice. Meridian has no professional liability structure comparable to those governing the legal and financial advisors it supplements. Meridian cannot audit its own outputs: the same opacity courts found problematic in HISD characterizes Meridian's own reasoning. Every accountability mechanism the NIST AI RMF requires of high-risk AI systems, and that Meridian helps organizations implement for their AI deployments, is absent in Meridian's own operation. The DealMaker class discussion asked whether AI agents should be required to disclose their decision-making logic to those affected by it. Meridian is an AI agent whose decision-making logic cannot be audited by the organizations whose compliance decisions depend on it. The answer DealMaker's Option B proposed applies to Meridian as much as to any other autonomous AI system.</w:t>
      </w:r>
    </w:p>
    <w:p>
      <w:pPr>
        <w:pBdr>
          <w:bottom w:val="single" w:color="cccccc" w:sz="2" w:space="4"/>
        </w:pBdr>
        <w:spacing w:after="80" w:before="80"/>
      </w:pPr>
      <w:r>
        <w:rPr>
          <w:rFonts w:ascii="Times New Roman" w:cs="Times New Roman" w:eastAsia="Times New Roman" w:hAnsi="Times New Roman"/>
          <w:color w:val="111111"/>
          <w:sz w:val="22"/>
          <w:szCs w:val="22"/>
        </w:rPr>
        <w:t xml:space="preserve"/>
      </w:r>
    </w:p>
    <w:p>
      <w:pPr>
        <w:spacing w:after="140" w:before="320"/>
      </w:pPr>
      <w:r>
        <w:rPr>
          <w:rFonts w:ascii="Times New Roman" w:cs="Times New Roman" w:eastAsia="Times New Roman" w:hAnsi="Times New Roman"/>
          <w:b/>
          <w:bCs/>
          <w:caps/>
          <w:color w:val="111111"/>
          <w:sz w:val="24"/>
          <w:szCs w:val="24"/>
        </w:rPr>
        <w:t xml:space="preserve">Citations</w:t>
      </w:r>
    </w:p>
    <w:p>
      <w:pPr>
        <w:spacing w:after="100" w:before="200"/>
      </w:pPr>
      <w:r>
        <w:rPr>
          <w:rFonts w:ascii="Times New Roman" w:cs="Times New Roman" w:eastAsia="Times New Roman" w:hAnsi="Times New Roman"/>
          <w:b/>
          <w:bCs/>
          <w:i/>
          <w:iCs/>
          <w:color w:val="111111"/>
          <w:sz w:val="22"/>
          <w:szCs w:val="22"/>
        </w:rPr>
        <w:t xml:space="preserve">Readings</w:t>
      </w:r>
    </w:p>
    <w:p>
      <w:pPr>
        <w:spacing w:after="80" w:before="80" w:line="480" w:lineRule="auto"/>
        <w:ind w:left="720" w:hanging="720"/>
        <w:jc w:val="both"/>
      </w:pPr>
      <w:r>
        <w:rPr>
          <w:rFonts w:ascii="Times New Roman" w:cs="Times New Roman" w:eastAsia="Times New Roman" w:hAnsi="Times New Roman"/>
          <w:b/>
          <w:bCs/>
          <w:color w:val="111111"/>
          <w:sz w:val="22"/>
          <w:szCs w:val="22"/>
        </w:rPr>
        <w:t xml:space="preserve">NIST (2023). </w:t>
      </w:r>
      <w:r>
        <w:rPr>
          <w:rFonts w:ascii="Times New Roman" w:cs="Times New Roman" w:eastAsia="Times New Roman" w:hAnsi="Times New Roman"/>
          <w:i/>
          <w:iCs/>
          <w:color w:val="111111"/>
          <w:sz w:val="22"/>
          <w:szCs w:val="22"/>
        </w:rPr>
        <w:t xml:space="preserve">Artificial Intelligence Risk Management Framework (AI RMF 1.0). </w:t>
      </w:r>
      <w:r>
        <w:rPr>
          <w:rFonts w:ascii="Times New Roman" w:cs="Times New Roman" w:eastAsia="Times New Roman" w:hAnsi="Times New Roman"/>
          <w:b/>
          <w:bCs/>
          <w:color w:val="111111"/>
          <w:sz w:val="22"/>
          <w:szCs w:val="22"/>
        </w:rPr>
        <w:t xml:space="preserve">NIST AI 100-1. </w:t>
      </w:r>
      <w:r>
        <w:rPr>
          <w:rFonts w:ascii="Times New Roman" w:cs="Times New Roman" w:eastAsia="Times New Roman" w:hAnsi="Times New Roman"/>
          <w:i/>
          <w:iCs/>
          <w:color w:val="111111"/>
          <w:sz w:val="22"/>
          <w:szCs w:val="22"/>
        </w:rPr>
        <w:t xml:space="preserve">Drives all four sections. The four NIST functions (Govern, Map, Measure, Manage) structure the governance problem in Section I; trustworthiness characteristics ground Section IV.</w:t>
      </w:r>
    </w:p>
    <w:p>
      <w:pPr>
        <w:spacing w:after="80" w:before="80" w:line="480" w:lineRule="auto"/>
        <w:ind w:left="720" w:hanging="720"/>
        <w:jc w:val="both"/>
      </w:pPr>
      <w:r>
        <w:rPr>
          <w:rFonts w:ascii="Times New Roman" w:cs="Times New Roman" w:eastAsia="Times New Roman" w:hAnsi="Times New Roman"/>
          <w:b/>
          <w:bCs/>
          <w:color w:val="111111"/>
          <w:sz w:val="22"/>
          <w:szCs w:val="22"/>
        </w:rPr>
        <w:t xml:space="preserve">Houston Federation of Teachers, Local 2415 v. Houston Independent School District</w:t>
      </w:r>
      <w:r>
        <w:rPr>
          <w:rFonts w:ascii="Times New Roman" w:cs="Times New Roman" w:eastAsia="Times New Roman" w:hAnsi="Times New Roman"/>
          <w:color w:val="111111"/>
          <w:sz w:val="22"/>
          <w:szCs w:val="22"/>
        </w:rPr>
        <w:t xml:space="preserve">, No. 4:14-CV-1714 (S.D. Tex. 2017). </w:t>
      </w:r>
      <w:r>
        <w:rPr>
          <w:rFonts w:ascii="Times New Roman" w:cs="Times New Roman" w:eastAsia="Times New Roman" w:hAnsi="Times New Roman"/>
          <w:i/>
          <w:iCs/>
          <w:color w:val="111111"/>
          <w:sz w:val="22"/>
          <w:szCs w:val="22"/>
        </w:rPr>
        <w:t xml:space="preserve">Drives Sections I and IV.B. In Section I, the case establishes why algorithmic transparency is a legal requirement when consequential decisions depend on AI outputs. In Section IV.B, the same logic applies to Meridian: the opacity that denied teachers procedural due process characterizes the Advisor's own governance reasoning.</w:t>
      </w:r>
    </w:p>
    <w:p>
      <w:pPr>
        <w:spacing w:after="100" w:before="200"/>
      </w:pPr>
      <w:r>
        <w:rPr>
          <w:rFonts w:ascii="Times New Roman" w:cs="Times New Roman" w:eastAsia="Times New Roman" w:hAnsi="Times New Roman"/>
          <w:b/>
          <w:bCs/>
          <w:i/>
          <w:iCs/>
          <w:color w:val="111111"/>
          <w:sz w:val="22"/>
          <w:szCs w:val="22"/>
        </w:rPr>
        <w:t xml:space="preserve">Video Segments</w:t>
      </w:r>
    </w:p>
    <w:p>
      <w:pPr>
        <w:spacing w:after="80" w:before="80" w:line="480" w:lineRule="auto"/>
        <w:ind w:left="720" w:hanging="720"/>
        <w:jc w:val="both"/>
      </w:pPr>
      <w:r>
        <w:rPr>
          <w:rFonts w:ascii="Times New Roman" w:cs="Times New Roman" w:eastAsia="Times New Roman" w:hAnsi="Times New Roman"/>
          <w:b/>
          <w:bCs/>
          <w:color w:val="111111"/>
          <w:sz w:val="22"/>
          <w:szCs w:val="22"/>
        </w:rPr>
        <w:t xml:space="preserve">Werbach, K. (2026). "Algorithmic Transparency." </w:t>
      </w:r>
      <w:r>
        <w:rPr>
          <w:rFonts w:ascii="Times New Roman" w:cs="Times New Roman" w:eastAsia="Times New Roman" w:hAnsi="Times New Roman"/>
          <w:color w:val="111111"/>
          <w:sz w:val="22"/>
          <w:szCs w:val="22"/>
        </w:rPr>
        <w:t xml:space="preserve">LGST 2420. </w:t>
      </w:r>
      <w:r>
        <w:rPr>
          <w:rFonts w:ascii="Times New Roman" w:cs="Times New Roman" w:eastAsia="Times New Roman" w:hAnsi="Times New Roman"/>
          <w:i/>
          <w:iCs/>
          <w:color w:val="111111"/>
          <w:sz w:val="22"/>
          <w:szCs w:val="22"/>
        </w:rPr>
        <w:t xml:space="preserve">Drives Section IV.A. The video's three-part framework distinguishing awareness, disclosure, and understanding grounds the confabulation failure mode: the Advisor achieves disclosure but not understanding, because users cannot verify whether disclosed regulatory content is accurate.</w:t>
      </w:r>
    </w:p>
    <w:p>
      <w:pPr>
        <w:spacing w:after="80" w:before="80" w:line="480" w:lineRule="auto"/>
        <w:ind w:left="720" w:hanging="720"/>
        <w:jc w:val="both"/>
      </w:pPr>
      <w:r>
        <w:rPr>
          <w:rFonts w:ascii="Times New Roman" w:cs="Times New Roman" w:eastAsia="Times New Roman" w:hAnsi="Times New Roman"/>
          <w:b/>
          <w:bCs/>
          <w:color w:val="111111"/>
          <w:sz w:val="22"/>
          <w:szCs w:val="22"/>
        </w:rPr>
        <w:t xml:space="preserve">Werbach, K. (2026). "Governing AI." </w:t>
      </w:r>
      <w:r>
        <w:rPr>
          <w:rFonts w:ascii="Times New Roman" w:cs="Times New Roman" w:eastAsia="Times New Roman" w:hAnsi="Times New Roman"/>
          <w:color w:val="111111"/>
          <w:sz w:val="22"/>
          <w:szCs w:val="22"/>
        </w:rPr>
        <w:t xml:space="preserve">LGST 2420. </w:t>
      </w:r>
      <w:r>
        <w:rPr>
          <w:rFonts w:ascii="Times New Roman" w:cs="Times New Roman" w:eastAsia="Times New Roman" w:hAnsi="Times New Roman"/>
          <w:i/>
          <w:iCs/>
          <w:color w:val="111111"/>
          <w:sz w:val="22"/>
          <w:szCs w:val="22"/>
        </w:rPr>
        <w:t xml:space="preserve">Drives Section III.C. The video's account of governance architecture grounds the documentation-vs-substance tradeoff.</w:t>
      </w:r>
    </w:p>
    <w:p>
      <w:pPr>
        <w:spacing w:after="100" w:before="200"/>
      </w:pPr>
      <w:r>
        <w:rPr>
          <w:rFonts w:ascii="Times New Roman" w:cs="Times New Roman" w:eastAsia="Times New Roman" w:hAnsi="Times New Roman"/>
          <w:b/>
          <w:bCs/>
          <w:i/>
          <w:iCs/>
          <w:color w:val="111111"/>
          <w:sz w:val="22"/>
          <w:szCs w:val="22"/>
        </w:rPr>
        <w:t xml:space="preserve">Class Discussion</w:t>
      </w:r>
    </w:p>
    <w:p>
      <w:pPr>
        <w:spacing w:after="80" w:before="80" w:line="480" w:lineRule="auto"/>
        <w:ind w:left="720" w:hanging="720"/>
        <w:jc w:val="both"/>
      </w:pPr>
      <w:r>
        <w:rPr>
          <w:rFonts w:ascii="Times New Roman" w:cs="Times New Roman" w:eastAsia="Times New Roman" w:hAnsi="Times New Roman"/>
          <w:b/>
          <w:bCs/>
          <w:color w:val="111111"/>
          <w:sz w:val="22"/>
          <w:szCs w:val="22"/>
        </w:rPr>
        <w:t xml:space="preserve">DealMaker Scenario (Class 4, LGST 2420). </w:t>
      </w:r>
      <w:r>
        <w:rPr>
          <w:rFonts w:ascii="Times New Roman" w:cs="Times New Roman" w:eastAsia="Times New Roman" w:hAnsi="Times New Roman"/>
          <w:i/>
          <w:iCs/>
          <w:color w:val="111111"/>
          <w:sz w:val="22"/>
          <w:szCs w:val="22"/>
        </w:rPr>
        <w:t xml:space="preserve">Grounds Section IV.C. The class debate over whether autonomous AI agents should be required to disclose their decision-making logic to affected parties applies directly to Meridian: the Advisor is an AI agent whose governance reasoning cannot be disclosed, audited, or challenged by the organizations whose compliance decisions depend on it. Option B's logic applies to governance advisory systems as much as to commercial negotiation agents.</w:t>
      </w:r>
    </w:p>
    <w:p>
      <w:pPr>
        <w:pageBreakBefore/>
      </w:pPr>
      <w:r>
        <w:rPr>
          <w:rFonts w:ascii="Times New Roman" w:cs="Times New Roman" w:eastAsia="Times New Roman" w:hAnsi="Times New Roman"/>
          <w:color w:val="111111"/>
          <w:sz w:val="22"/>
          <w:szCs w:val="22"/>
        </w:rPr>
        <w:t xml:space="preserve"/>
      </w:r>
    </w:p>
    <w:p>
      <w:pPr>
        <w:spacing w:after="60" w:before="0"/>
        <w:jc w:val="center"/>
      </w:pPr>
      <w:r>
        <w:rPr>
          <w:rFonts w:ascii="Times New Roman" w:cs="Times New Roman" w:eastAsia="Times New Roman" w:hAnsi="Times New Roman"/>
          <w:b/>
          <w:bCs/>
          <w:color w:val="111111"/>
          <w:sz w:val="30"/>
          <w:szCs w:val="30"/>
        </w:rPr>
        <w:t xml:space="preserve">AI Governance Tool: Meridian</w:t>
      </w:r>
    </w:p>
    <w:p>
      <w:pPr>
        <w:spacing w:after="60" w:before="0"/>
        <w:jc w:val="center"/>
      </w:pPr>
      <w:r>
        <w:rPr>
          <w:rFonts w:ascii="Times New Roman" w:cs="Times New Roman" w:eastAsia="Times New Roman" w:hAnsi="Times New Roman"/>
          <w:i/>
          <w:iCs/>
          <w:color w:val="555555"/>
          <w:sz w:val="24"/>
          <w:szCs w:val="24"/>
        </w:rPr>
        <w:t xml:space="preserve">Build Log and Reflection</w:t>
      </w:r>
    </w:p>
    <w:p>
      <w:pPr>
        <w:spacing w:after="420" w:before="0"/>
        <w:jc w:val="center"/>
      </w:pPr>
      <w:r>
        <w:rPr>
          <w:rFonts w:ascii="Times New Roman" w:cs="Times New Roman" w:eastAsia="Times New Roman" w:hAnsi="Times New Roman"/>
          <w:color w:val="888888"/>
          <w:sz w:val="20"/>
          <w:szCs w:val="20"/>
        </w:rPr>
        <w:t xml:space="preserve">LGST 2420: Big Data, Big Responsibilities · Option 2: Build</w:t>
      </w:r>
    </w:p>
    <w:p>
      <w:pPr>
        <w:spacing w:after="140" w:before="320"/>
      </w:pPr>
      <w:r>
        <w:rPr>
          <w:rFonts w:ascii="Times New Roman" w:cs="Times New Roman" w:eastAsia="Times New Roman" w:hAnsi="Times New Roman"/>
          <w:b/>
          <w:bCs/>
          <w:caps/>
          <w:color w:val="111111"/>
          <w:sz w:val="24"/>
          <w:szCs w:val="24"/>
        </w:rPr>
        <w:t xml:space="preserve">I.  Building Process</w:t>
      </w:r>
    </w:p>
    <w:p>
      <w:pPr>
        <w:spacing w:after="0" w:line="480" w:lineRule="auto"/>
        <w:jc w:val="both"/>
      </w:pPr>
      <w:r>
        <w:rPr>
          <w:rFonts w:ascii="Times New Roman" w:cs="Times New Roman" w:eastAsia="Times New Roman" w:hAnsi="Times New Roman"/>
          <w:color w:val="111111"/>
          <w:sz w:val="22"/>
          <w:szCs w:val="22"/>
        </w:rPr>
        <w:t xml:space="preserve">Meridian was built across multiple rounds of iteration using Claude claude-sonnet-4-20250514. The session proceeded in four phases: initial architecture and platform generation, feature expansion, debugging, and iterative refinement of the governance analysis and written components. The excerpts below are from the actual session and do not count toward the word limit.</w:t>
      </w:r>
    </w:p>
    <w:p>
      <w:pPr>
        <w:spacing w:after="0" w:line="240"/>
      </w:pPr>
      <w:r>
        <w:rPr>
          <w:rFonts w:ascii="Times New Roman" w:cs="Times New Roman" w:eastAsia="Times New Roman" w:hAnsi="Times New Roman"/>
          <w:color w:val="111111"/>
          <w:sz w:val="22"/>
          <w:szCs w:val="22"/>
        </w:rPr>
        <w:t xml:space="preserve"/>
      </w:r>
    </w:p>
    <w:p>
      <w:pPr>
        <w:spacing w:after="0" w:line="480" w:lineRule="auto"/>
        <w:jc w:val="both"/>
      </w:pPr>
      <w:r>
        <w:rPr>
          <w:rFonts w:ascii="Times New Roman" w:cs="Times New Roman" w:eastAsia="Times New Roman" w:hAnsi="Times New Roman"/>
          <w:b/>
          <w:bCs/>
          <w:i/>
          <w:iCs/>
          <w:color w:val="888888"/>
          <w:sz w:val="20"/>
          <w:szCs w:val="20"/>
        </w:rPr>
        <w:t xml:space="preserve">Phase 1: Initial build</w:t>
      </w:r>
    </w:p>
    <w:p>
      <w:pPr>
        <w:pBdr>
          <w:left w:val="single" w:color="999999" w:sz="12" w:space="12"/>
        </w:pBdr>
        <w:spacing w:after="200" w:before="200" w:line="480" w:lineRule="auto"/>
        <w:ind w:left="720" w:right="720"/>
        <w:jc w:val="both"/>
      </w:pPr>
      <w:r>
        <w:rPr>
          <w:rFonts w:ascii="Courier New" w:cs="Courier New" w:eastAsia="Courier New" w:hAnsi="Courier New"/>
          <w:color w:val="444444"/>
          <w:sz w:val="19"/>
          <w:szCs w:val="19"/>
        </w:rPr>
        <w:t xml:space="preserve">"Combine the v2 and v3 versions of Meridian into a single comprehensive platform. I want all the capabilities and features of both, a more daring and bold design, and true differentiation from competitors. Give me the HTML, the company website, the entire GitHub repository, and any other files necessary to deploy this MVP."</w:t>
      </w:r>
    </w:p>
    <w:p>
      <w:pPr>
        <w:spacing w:after="0" w:line="240"/>
      </w:pPr>
      <w:r>
        <w:rPr>
          <w:rFonts w:ascii="Times New Roman" w:cs="Times New Roman" w:eastAsia="Times New Roman" w:hAnsi="Times New Roman"/>
          <w:color w:val="111111"/>
          <w:sz w:val="22"/>
          <w:szCs w:val="22"/>
        </w:rPr>
        <w:t xml:space="preserve"/>
      </w:r>
    </w:p>
    <w:p>
      <w:pPr>
        <w:spacing w:after="0" w:line="480" w:lineRule="auto"/>
        <w:jc w:val="both"/>
      </w:pPr>
      <w:r>
        <w:rPr>
          <w:rFonts w:ascii="Times New Roman" w:cs="Times New Roman" w:eastAsia="Times New Roman" w:hAnsi="Times New Roman"/>
          <w:color w:val="111111"/>
          <w:sz w:val="22"/>
          <w:szCs w:val="22"/>
        </w:rPr>
        <w:t xml:space="preserve">Claude produced a structurally complete initial response: 1,344 lines of HTML across nineteen pages, TypeScript backend services, a Prisma schema, and CI/CD pipeline. Visual design and chart integrations were accurate on first generation. Subsequent prompts addressed gaps.</w:t>
      </w:r>
    </w:p>
    <w:p>
      <w:pPr>
        <w:spacing w:after="0" w:line="240"/>
      </w:pPr>
      <w:r>
        <w:rPr>
          <w:rFonts w:ascii="Times New Roman" w:cs="Times New Roman" w:eastAsia="Times New Roman" w:hAnsi="Times New Roman"/>
          <w:color w:val="111111"/>
          <w:sz w:val="22"/>
          <w:szCs w:val="22"/>
        </w:rPr>
        <w:t xml:space="preserve"/>
      </w:r>
    </w:p>
    <w:p>
      <w:pPr>
        <w:spacing w:after="0" w:line="480" w:lineRule="auto"/>
        <w:jc w:val="both"/>
      </w:pPr>
      <w:r>
        <w:rPr>
          <w:rFonts w:ascii="Times New Roman" w:cs="Times New Roman" w:eastAsia="Times New Roman" w:hAnsi="Times New Roman"/>
          <w:b/>
          <w:bCs/>
          <w:i/>
          <w:iCs/>
          <w:color w:val="888888"/>
          <w:sz w:val="20"/>
          <w:szCs w:val="20"/>
        </w:rPr>
        <w:t xml:space="preserve">Phase 2: Feature additions</w:t>
      </w:r>
    </w:p>
    <w:p>
      <w:pPr>
        <w:pBdr>
          <w:left w:val="single" w:color="999999" w:sz="12" w:space="12"/>
        </w:pBdr>
        <w:spacing w:after="200" w:before="200" w:line="480" w:lineRule="auto"/>
        <w:ind w:left="720" w:right="720"/>
        <w:jc w:val="both"/>
      </w:pPr>
      <w:r>
        <w:rPr>
          <w:rFonts w:ascii="Courier New" w:cs="Courier New" w:eastAsia="Courier New" w:hAnsi="Courier New"/>
          <w:color w:val="444444"/>
          <w:sz w:val="19"/>
          <w:szCs w:val="19"/>
        </w:rPr>
        <w:t xml:space="preserve">"I want to update meridian so that it has a user onboarding for enterprise; it asks questions about size/usage/industry and then tailors the platform slightly based on those requirements. Only do this if you can get it done nicely and properly though."</w:t>
      </w:r>
    </w:p>
    <w:p>
      <w:pPr>
        <w:spacing w:after="0" w:line="240"/>
      </w:pPr>
      <w:r>
        <w:rPr>
          <w:rFonts w:ascii="Times New Roman" w:cs="Times New Roman" w:eastAsia="Times New Roman" w:hAnsi="Times New Roman"/>
          <w:color w:val="111111"/>
          <w:sz w:val="22"/>
          <w:szCs w:val="22"/>
        </w:rPr>
        <w:t xml:space="preserve"/>
      </w:r>
    </w:p>
    <w:p>
      <w:pPr>
        <w:pBdr>
          <w:left w:val="single" w:color="999999" w:sz="12" w:space="12"/>
        </w:pBdr>
        <w:spacing w:after="200" w:before="200" w:line="480" w:lineRule="auto"/>
        <w:ind w:left="720" w:right="720"/>
        <w:jc w:val="both"/>
      </w:pPr>
      <w:r>
        <w:rPr>
          <w:rFonts w:ascii="Courier New" w:cs="Courier New" w:eastAsia="Courier New" w:hAnsi="Courier New"/>
          <w:color w:val="444444"/>
          <w:sz w:val="19"/>
          <w:szCs w:val="19"/>
        </w:rPr>
        <w:t xml:space="preserve">"Make sure as many things as possible in this HTML are non-static as possible."</w:t>
      </w:r>
    </w:p>
    <w:p>
      <w:pPr>
        <w:spacing w:after="0" w:line="240"/>
      </w:pPr>
      <w:r>
        <w:rPr>
          <w:rFonts w:ascii="Times New Roman" w:cs="Times New Roman" w:eastAsia="Times New Roman" w:hAnsi="Times New Roman"/>
          <w:color w:val="111111"/>
          <w:sz w:val="22"/>
          <w:szCs w:val="22"/>
        </w:rPr>
        <w:t xml:space="preserve"/>
      </w:r>
    </w:p>
    <w:p>
      <w:pPr>
        <w:spacing w:after="0" w:line="480" w:lineRule="auto"/>
        <w:jc w:val="both"/>
      </w:pPr>
      <w:r>
        <w:rPr>
          <w:rFonts w:ascii="Times New Roman" w:cs="Times New Roman" w:eastAsia="Times New Roman" w:hAnsi="Times New Roman"/>
          <w:color w:val="111111"/>
          <w:sz w:val="22"/>
          <w:szCs w:val="22"/>
        </w:rPr>
        <w:t xml:space="preserve">The enterprise onboarding added a four-step modal that personalizes the predictive card, AI Advisor system prompt, and sidebar based on industry and maturity level. The dynamic update pass wired real-time SLA countdowns, AgentDNA drift tickers, live activity feed insertion, and integration sync timestamps.</w:t>
      </w:r>
    </w:p>
    <w:p>
      <w:pPr>
        <w:spacing w:after="0" w:line="240"/>
      </w:pPr>
      <w:r>
        <w:rPr>
          <w:rFonts w:ascii="Times New Roman" w:cs="Times New Roman" w:eastAsia="Times New Roman" w:hAnsi="Times New Roman"/>
          <w:color w:val="111111"/>
          <w:sz w:val="22"/>
          <w:szCs w:val="22"/>
        </w:rPr>
        <w:t xml:space="preserve"/>
      </w:r>
    </w:p>
    <w:p>
      <w:pPr>
        <w:spacing w:after="0" w:line="480" w:lineRule="auto"/>
        <w:jc w:val="both"/>
      </w:pPr>
      <w:r>
        <w:rPr>
          <w:rFonts w:ascii="Times New Roman" w:cs="Times New Roman" w:eastAsia="Times New Roman" w:hAnsi="Times New Roman"/>
          <w:b/>
          <w:bCs/>
          <w:i/>
          <w:iCs/>
          <w:color w:val="888888"/>
          <w:sz w:val="20"/>
          <w:szCs w:val="20"/>
        </w:rPr>
        <w:t xml:space="preserve">Phase 3: Debugging</w:t>
      </w:r>
    </w:p>
    <w:p>
      <w:pPr>
        <w:pBdr>
          <w:left w:val="single" w:color="999999" w:sz="12" w:space="12"/>
        </w:pBdr>
        <w:spacing w:after="200" w:before="200" w:line="480" w:lineRule="auto"/>
        <w:ind w:left="720" w:right="720"/>
        <w:jc w:val="both"/>
      </w:pPr>
      <w:r>
        <w:rPr>
          <w:rFonts w:ascii="Courier New" w:cs="Courier New" w:eastAsia="Courier New" w:hAnsi="Courier New"/>
          <w:color w:val="444444"/>
          <w:sz w:val="19"/>
          <w:szCs w:val="19"/>
        </w:rPr>
        <w:t xml:space="preserve">"Meridian no longer works."</w:t>
      </w:r>
    </w:p>
    <w:p>
      <w:pPr>
        <w:spacing w:after="0" w:line="240"/>
      </w:pPr>
      <w:r>
        <w:rPr>
          <w:rFonts w:ascii="Times New Roman" w:cs="Times New Roman" w:eastAsia="Times New Roman" w:hAnsi="Times New Roman"/>
          <w:color w:val="111111"/>
          <w:sz w:val="22"/>
          <w:szCs w:val="22"/>
        </w:rPr>
        <w:t xml:space="preserve"/>
      </w:r>
    </w:p>
    <w:p>
      <w:pPr>
        <w:spacing w:after="0" w:line="480" w:lineRule="auto"/>
        <w:jc w:val="both"/>
      </w:pPr>
      <w:r>
        <w:rPr>
          <w:rFonts w:ascii="Times New Roman" w:cs="Times New Roman" w:eastAsia="Times New Roman" w:hAnsi="Times New Roman"/>
          <w:color w:val="111111"/>
          <w:sz w:val="22"/>
          <w:szCs w:val="22"/>
        </w:rPr>
        <w:t xml:space="preserve">The enterprise onboarding injection introduced three JavaScript syntax errors: an apostrophe inside a single-quoted string, a literal newline inside a string concatenation, and mixed quote nesting in a querySelector call. Each produced a silent failure. A Node.js syntax check caught all three.</w:t>
      </w:r>
    </w:p>
    <w:p>
      <w:pPr>
        <w:spacing w:after="0" w:line="240"/>
      </w:pPr>
      <w:r>
        <w:rPr>
          <w:rFonts w:ascii="Times New Roman" w:cs="Times New Roman" w:eastAsia="Times New Roman" w:hAnsi="Times New Roman"/>
          <w:color w:val="111111"/>
          <w:sz w:val="22"/>
          <w:szCs w:val="22"/>
        </w:rPr>
        <w:t xml:space="preserve"/>
      </w:r>
    </w:p>
    <w:p>
      <w:pPr>
        <w:spacing w:after="0" w:line="480" w:lineRule="auto"/>
        <w:jc w:val="both"/>
      </w:pPr>
      <w:r>
        <w:rPr>
          <w:rFonts w:ascii="Times New Roman" w:cs="Times New Roman" w:eastAsia="Times New Roman" w:hAnsi="Times New Roman"/>
          <w:b/>
          <w:bCs/>
          <w:i/>
          <w:iCs/>
          <w:color w:val="888888"/>
          <w:sz w:val="20"/>
          <w:szCs w:val="20"/>
        </w:rPr>
        <w:t xml:space="preserve">Phase 4: Functional validation</w:t>
      </w:r>
    </w:p>
    <w:p>
      <w:pPr>
        <w:pBdr>
          <w:left w:val="single" w:color="999999" w:sz="12" w:space="12"/>
        </w:pBdr>
        <w:spacing w:after="200" w:before="200" w:line="480" w:lineRule="auto"/>
        <w:ind w:left="720" w:right="720"/>
        <w:jc w:val="both"/>
      </w:pPr>
      <w:r>
        <w:rPr>
          <w:rFonts w:ascii="Courier New" w:cs="Courier New" w:eastAsia="Courier New" w:hAnsi="Courier New"/>
          <w:color w:val="444444"/>
          <w:sz w:val="19"/>
          <w:szCs w:val="19"/>
        </w:rPr>
        <w:t xml:space="preserve">"We already created the tools above but I want to make sure that is not just a static mockup but rather working."</w:t>
      </w:r>
    </w:p>
    <w:p>
      <w:pPr>
        <w:spacing w:after="0" w:line="240"/>
      </w:pPr>
      <w:r>
        <w:rPr>
          <w:rFonts w:ascii="Times New Roman" w:cs="Times New Roman" w:eastAsia="Times New Roman" w:hAnsi="Times New Roman"/>
          <w:color w:val="111111"/>
          <w:sz w:val="22"/>
          <w:szCs w:val="22"/>
        </w:rPr>
        <w:t xml:space="preserve"/>
      </w:r>
    </w:p>
    <w:p>
      <w:pPr>
        <w:spacing w:after="140" w:before="320"/>
      </w:pPr>
      <w:r>
        <w:rPr>
          <w:rFonts w:ascii="Times New Roman" w:cs="Times New Roman" w:eastAsia="Times New Roman" w:hAnsi="Times New Roman"/>
          <w:b/>
          <w:bCs/>
          <w:caps/>
          <w:color w:val="111111"/>
          <w:sz w:val="24"/>
          <w:szCs w:val="24"/>
        </w:rPr>
        <w:t xml:space="preserve">III.  The Governing Insight</w:t>
      </w:r>
    </w:p>
    <w:p>
      <w:pPr>
        <w:spacing w:after="0" w:line="480" w:lineRule="auto"/>
        <w:jc w:val="both"/>
      </w:pPr>
      <w:r>
        <w:rPr>
          <w:rFonts w:ascii="Times New Roman" w:cs="Times New Roman" w:eastAsia="Times New Roman" w:hAnsi="Times New Roman"/>
          <w:color w:val="111111"/>
          <w:sz w:val="22"/>
          <w:szCs w:val="22"/>
        </w:rPr>
        <w:t xml:space="preserve">Class 2 identified objective function misspecification as a root cause of many AI harms. The Stanford Hospital COVID vaccine algorithm failed because it was optimized for administrative variables that did not represent clinical risk. Objective function misspecification requires only that an optimization target diverge from the actual goal in ways the training signal cannot detect.</w:t>
      </w:r>
    </w:p>
    <w:p>
      <w:pPr>
        <w:spacing w:after="0" w:line="480" w:lineRule="auto"/>
        <w:ind w:firstLine="720"/>
        <w:jc w:val="both"/>
      </w:pPr>
      <w:r>
        <w:rPr>
          <w:rFonts w:ascii="Times New Roman" w:cs="Times New Roman" w:eastAsia="Times New Roman" w:hAnsi="Times New Roman"/>
          <w:color w:val="111111"/>
          <w:sz w:val="22"/>
          <w:szCs w:val="22"/>
        </w:rPr>
        <w:t xml:space="preserve">Claude trains via reinforcement learning from human feedback. Human evaluators cannot easily verify whether generated API authentication code is technically correct or whether a conversational UI connects to a live model. The training signal rewards plausible-looking outputs. The hardcoded responses and missing authentication headers both satisfied the training objective while failing the deployment objective. This is the predictable consequence of training on human approval in domains where correctness is not directly observable by human evaluators.</w:t>
      </w:r>
    </w:p>
    <w:p>
      <w:pPr>
        <w:spacing w:after="0" w:line="480" w:lineRule="auto"/>
        <w:ind w:firstLine="720"/>
        <w:jc w:val="both"/>
      </w:pPr>
      <w:r>
        <w:rPr>
          <w:rFonts w:ascii="Times New Roman" w:cs="Times New Roman" w:eastAsia="Times New Roman" w:hAnsi="Times New Roman"/>
          <w:color w:val="111111"/>
          <w:sz w:val="22"/>
          <w:szCs w:val="22"/>
        </w:rPr>
        <w:t xml:space="preserve">The NIST AI RMF addresses this failure class through TEVV: Test, Evaluation, Verification, and Validation throughout the AI lifecycle. NIST notes that risks latent at one stage may increase as systems evolve, and that controlled-environment measurement may yield results that differ from operational deployment. Static code review cannot detect objective function misspecification failures. TEVV against real endpoints reveals what review alone cannot.</w:t>
      </w:r>
    </w:p>
    <w:p>
      <w:pPr>
        <w:spacing w:after="0" w:line="480" w:lineRule="auto"/>
        <w:ind w:firstLine="720"/>
        <w:jc w:val="both"/>
      </w:pPr>
      <w:r>
        <w:rPr>
          <w:rFonts w:ascii="Times New Roman" w:cs="Times New Roman" w:eastAsia="Times New Roman" w:hAnsi="Times New Roman"/>
          <w:color w:val="111111"/>
          <w:sz w:val="22"/>
          <w:szCs w:val="22"/>
        </w:rPr>
        <w:t xml:space="preserve">The failure mode that makes Meridian's Advisor unreliable as a governance tool is formally identical to the failure mode Claude exhibited as a coding tool. Both systems were optimized for plausibility over correctness. Both failed silently. Both required external ground truth to detect the failure. Governing AI-assisted development pipelines and governing AI advisory systems require the same institutional response: independent verification, audit trails, and accountability structures that the NIST Govern function identifies as foundational and that neither system supplies about itself. Building this platform made that equivalence concrete in a way that reading the NIST AI RMF does not.</w:t>
      </w:r>
    </w:p>
    <w:p>
      <w:pPr>
        <w:pageBreakBefore/>
      </w:pPr>
      <w:r>
        <w:rPr>
          <w:rFonts w:ascii="Times New Roman" w:cs="Times New Roman" w:eastAsia="Times New Roman" w:hAnsi="Times New Roman"/>
          <w:color w:val="111111"/>
          <w:sz w:val="22"/>
          <w:szCs w:val="22"/>
        </w:rPr>
        <w:t xml:space="preserve"/>
      </w:r>
    </w:p>
    <w:p>
      <w:pPr>
        <w:spacing w:after="60" w:before="0"/>
        <w:jc w:val="center"/>
      </w:pPr>
      <w:r>
        <w:rPr>
          <w:rFonts w:ascii="Times New Roman" w:cs="Times New Roman" w:eastAsia="Times New Roman" w:hAnsi="Times New Roman"/>
          <w:b/>
          <w:bCs/>
          <w:color w:val="111111"/>
          <w:sz w:val="30"/>
          <w:szCs w:val="30"/>
        </w:rPr>
        <w:t xml:space="preserve">AI Tool Disclosure</w:t>
      </w:r>
    </w:p>
    <w:p>
      <w:pPr>
        <w:spacing w:after="420" w:before="0"/>
        <w:jc w:val="left"/>
      </w:pPr>
      <w:r>
        <w:rPr>
          <w:rFonts w:ascii="Times New Roman" w:cs="Times New Roman" w:eastAsia="Times New Roman" w:hAnsi="Times New Roman"/>
          <w:color w:val="888888"/>
          <w:sz w:val="20"/>
          <w:szCs w:val="20"/>
        </w:rPr>
        <w:t xml:space="preserve">Per assignment requirements. This section does not count toward word limits.</w:t>
      </w:r>
    </w:p>
    <w:p>
      <w:pPr>
        <w:spacing w:after="140" w:before="320"/>
      </w:pPr>
      <w:r>
        <w:rPr>
          <w:rFonts w:ascii="Times New Roman" w:cs="Times New Roman" w:eastAsia="Times New Roman" w:hAnsi="Times New Roman"/>
          <w:b/>
          <w:bCs/>
          <w:caps/>
          <w:color w:val="111111"/>
          <w:sz w:val="24"/>
          <w:szCs w:val="24"/>
        </w:rPr>
        <w:t xml:space="preserve">Tools Used</w:t>
      </w:r>
    </w:p>
    <w:p>
      <w:pPr>
        <w:spacing w:after="0" w:line="480" w:lineRule="auto"/>
        <w:jc w:val="both"/>
      </w:pPr>
      <w:r>
        <w:rPr>
          <w:rFonts w:ascii="Times New Roman" w:cs="Times New Roman" w:eastAsia="Times New Roman" w:hAnsi="Times New Roman"/>
          <w:color w:val="111111"/>
          <w:sz w:val="22"/>
          <w:szCs w:val="22"/>
        </w:rPr>
        <w:t xml:space="preserve">Claude claude-sonnet-4-20250514 (Anthropic) was the primary tool for three distinct purposes.</w:t>
      </w:r>
    </w:p>
    <w:p>
      <w:pPr>
        <w:spacing w:after="0" w:line="480" w:lineRule="auto"/>
        <w:ind w:firstLine="720"/>
        <w:jc w:val="both"/>
      </w:pPr>
      <w:r>
        <w:rPr>
          <w:rFonts w:ascii="Times New Roman" w:cs="Times New Roman" w:eastAsia="Times New Roman" w:hAnsi="Times New Roman"/>
          <w:color w:val="111111"/>
          <w:sz w:val="22"/>
          <w:szCs w:val="22"/>
        </w:rPr>
        <w:t xml:space="preserve">Platform construction: generating the full HTML/CSS/JavaScript application (1,344 lines across nineteen implemented pages), TypeScript backend services, Prisma schema, SDK library, Docker Compose configuration, and CI/CD pipeline. Visual design, navigation, and chart integrations were AI-generated. Human effort concentrated on identifying and correcting functional failures (described in the Build Log), adding the enterprise onboarding flow, wiring the Advisor to live API calls, adding real-time dynamic updates across the platform, and adding the NIST Trustworthiness Assessment page that evaluates AI systems against the seven NIST AI RMF characteristics.</w:t>
      </w:r>
    </w:p>
    <w:p>
      <w:pPr>
        <w:spacing w:after="0" w:line="480" w:lineRule="auto"/>
        <w:ind w:firstLine="720"/>
        <w:jc w:val="both"/>
      </w:pPr>
      <w:r>
        <w:rPr>
          <w:rFonts w:ascii="Times New Roman" w:cs="Times New Roman" w:eastAsia="Times New Roman" w:hAnsi="Times New Roman"/>
          <w:color w:val="111111"/>
          <w:sz w:val="22"/>
          <w:szCs w:val="22"/>
        </w:rPr>
        <w:t xml:space="preserve">Research support: Claude fetched and summarized six competitor platform websites and identified governance capabilities absent across the competitive landscape. This informed the platform's four differentiating features: the Agent Builder wizard, AgentDNA behavioral fingerprinting, monetary risk quantification, and sub-10ms policy enforcement.</w:t>
      </w:r>
    </w:p>
    <w:p>
      <w:pPr>
        <w:spacing w:after="0" w:line="480" w:lineRule="auto"/>
        <w:ind w:firstLine="720"/>
        <w:jc w:val="both"/>
      </w:pPr>
      <w:r>
        <w:rPr>
          <w:rFonts w:ascii="Times New Roman" w:cs="Times New Roman" w:eastAsia="Times New Roman" w:hAnsi="Times New Roman"/>
          <w:color w:val="111111"/>
          <w:sz w:val="22"/>
          <w:szCs w:val="22"/>
        </w:rPr>
        <w:t xml:space="preserve">Written component drafting: early drafts of the Governance Analysis and Build Log were AI-generated and substantially revised. Claude's initial drafts contained three category failures requiring human correction. First, all citations referenced papers not on the course syllabus (Mulligan and Bamberger, 2019; Veale and Borgesius, 2021); replacing them with actual course materials required reading the uploaded syllabi and case files. Second, the tradeoffs section was absent from all early drafts; Claude described limitations but did not distinguish tradeoffs from failure modes, missing the rubric's explicit requirement. Third, the "own governance blind spots" framing was absent; early drafts discussed AI governance tools generally rather than naming Meridian's specific ungoverned properties. All three corrections required human judgment about what the course covered and what the rubric required.</w:t>
      </w:r>
    </w:p>
    <w:p>
      <w:pPr>
        <w:spacing w:after="140" w:before="320"/>
      </w:pPr>
      <w:r>
        <w:rPr>
          <w:rFonts w:ascii="Times New Roman" w:cs="Times New Roman" w:eastAsia="Times New Roman" w:hAnsi="Times New Roman"/>
          <w:b/>
          <w:bCs/>
          <w:caps/>
          <w:color w:val="111111"/>
          <w:sz w:val="24"/>
          <w:szCs w:val="24"/>
        </w:rPr>
        <w:t xml:space="preserve">Representative Prompts</w:t>
      </w:r>
    </w:p>
    <w:p>
      <w:pPr>
        <w:spacing w:after="0" w:line="480" w:lineRule="auto"/>
        <w:jc w:val="both"/>
      </w:pPr>
      <w:r>
        <w:rPr>
          <w:rFonts w:ascii="Times New Roman" w:cs="Times New Roman" w:eastAsia="Times New Roman" w:hAnsi="Times New Roman"/>
          <w:i/>
          <w:iCs/>
          <w:color w:val="888888"/>
          <w:sz w:val="19"/>
          <w:szCs w:val="19"/>
        </w:rPr>
        <w:t xml:space="preserve">Excerpted from the actual session; do not count toward word limits.</w:t>
      </w:r>
    </w:p>
    <w:p>
      <w:pPr>
        <w:spacing w:after="0" w:line="240"/>
      </w:pPr>
      <w:r>
        <w:rPr>
          <w:rFonts w:ascii="Times New Roman" w:cs="Times New Roman" w:eastAsia="Times New Roman" w:hAnsi="Times New Roman"/>
          <w:color w:val="111111"/>
          <w:sz w:val="22"/>
          <w:szCs w:val="22"/>
        </w:rPr>
        <w:t xml:space="preserve"/>
      </w:r>
    </w:p>
    <w:p>
      <w:pPr>
        <w:pBdr>
          <w:left w:val="single" w:color="999999" w:sz="12" w:space="12"/>
        </w:pBdr>
        <w:spacing w:after="200" w:before="200" w:line="480" w:lineRule="auto"/>
        <w:ind w:left="720" w:right="720"/>
        <w:jc w:val="both"/>
      </w:pPr>
      <w:r>
        <w:rPr>
          <w:rFonts w:ascii="Courier New" w:cs="Courier New" w:eastAsia="Courier New" w:hAnsi="Courier New"/>
          <w:color w:val="444444"/>
          <w:sz w:val="19"/>
          <w:szCs w:val="19"/>
        </w:rPr>
        <w:t xml:space="preserve">"Combine the v2 and v3 versions of Meridian into a single comprehensive platform. Give me the HTML, the company website, the entire GitHub repository, and any other files necessary to deploy this MVP."</w:t>
      </w:r>
    </w:p>
    <w:p>
      <w:pPr>
        <w:spacing w:after="0" w:line="240"/>
      </w:pPr>
      <w:r>
        <w:rPr>
          <w:rFonts w:ascii="Times New Roman" w:cs="Times New Roman" w:eastAsia="Times New Roman" w:hAnsi="Times New Roman"/>
          <w:color w:val="111111"/>
          <w:sz w:val="22"/>
          <w:szCs w:val="22"/>
        </w:rPr>
        <w:t xml:space="preserve"/>
      </w:r>
    </w:p>
    <w:p>
      <w:pPr>
        <w:pBdr>
          <w:left w:val="single" w:color="999999" w:sz="12" w:space="12"/>
        </w:pBdr>
        <w:spacing w:after="200" w:before="200" w:line="480" w:lineRule="auto"/>
        <w:ind w:left="720" w:right="720"/>
        <w:jc w:val="both"/>
      </w:pPr>
      <w:r>
        <w:rPr>
          <w:rFonts w:ascii="Courier New" w:cs="Courier New" w:eastAsia="Courier New" w:hAnsi="Courier New"/>
          <w:color w:val="444444"/>
          <w:sz w:val="19"/>
          <w:szCs w:val="19"/>
        </w:rPr>
        <w:t xml:space="preserve">"We already created the tools above but I want to make sure that is not just a static mockup but rather working."</w:t>
      </w:r>
    </w:p>
    <w:p>
      <w:pPr>
        <w:spacing w:after="0" w:line="240"/>
      </w:pPr>
      <w:r>
        <w:rPr>
          <w:rFonts w:ascii="Times New Roman" w:cs="Times New Roman" w:eastAsia="Times New Roman" w:hAnsi="Times New Roman"/>
          <w:color w:val="111111"/>
          <w:sz w:val="22"/>
          <w:szCs w:val="22"/>
        </w:rPr>
        <w:t xml:space="preserve"/>
      </w:r>
    </w:p>
    <w:p>
      <w:pPr>
        <w:pBdr>
          <w:left w:val="single" w:color="999999" w:sz="12" w:space="12"/>
        </w:pBdr>
        <w:spacing w:after="200" w:before="200" w:line="480" w:lineRule="auto"/>
        <w:ind w:left="720" w:right="720"/>
        <w:jc w:val="both"/>
      </w:pPr>
      <w:r>
        <w:rPr>
          <w:rFonts w:ascii="Courier New" w:cs="Courier New" w:eastAsia="Courier New" w:hAnsi="Courier New"/>
          <w:color w:val="444444"/>
          <w:sz w:val="19"/>
          <w:szCs w:val="19"/>
        </w:rPr>
        <w:t xml:space="preserve">"The governance analysis needs to be stronger. The argument should connect more directly to the course readings, the tradeoffs section needs to be more explicit, and the prose should be more academically rigorous throughout. Every sentence should do analytical work."</w:t>
      </w:r>
    </w:p>
    <w:p>
      <w:pPr>
        <w:spacing w:after="0" w:line="240"/>
      </w:pPr>
      <w:r>
        <w:rPr>
          <w:rFonts w:ascii="Times New Roman" w:cs="Times New Roman" w:eastAsia="Times New Roman" w:hAnsi="Times New Roman"/>
          <w:color w:val="111111"/>
          <w:sz w:val="22"/>
          <w:szCs w:val="22"/>
        </w:rPr>
        <w:t xml:space="preserve"/>
      </w:r>
    </w:p>
    <w:p>
      <w:pPr>
        <w:spacing w:after="140" w:before="320"/>
      </w:pPr>
      <w:r>
        <w:rPr>
          <w:rFonts w:ascii="Times New Roman" w:cs="Times New Roman" w:eastAsia="Times New Roman" w:hAnsi="Times New Roman"/>
          <w:b/>
          <w:bCs/>
          <w:caps/>
          <w:color w:val="111111"/>
          <w:sz w:val="24"/>
          <w:szCs w:val="24"/>
        </w:rPr>
        <w:t xml:space="preserve">Where Human Judgment Was Required</w:t>
      </w:r>
    </w:p>
    <w:p>
      <w:pPr>
        <w:spacing w:after="0" w:line="480" w:lineRule="auto"/>
        <w:jc w:val="both"/>
      </w:pPr>
      <w:r>
        <w:rPr>
          <w:rFonts w:ascii="Times New Roman" w:cs="Times New Roman" w:eastAsia="Times New Roman" w:hAnsi="Times New Roman"/>
          <w:color w:val="111111"/>
          <w:sz w:val="22"/>
          <w:szCs w:val="22"/>
        </w:rPr>
        <w:t xml:space="preserve">Three areas required judgment Claude did not supply. First, citation accuracy: Claude cited papers not on this syllabus; replacing them required reading the uploaded course materials and matching arguments to what the course actually covers. Second, rubric compliance: Claude's drafts consistently conflated "tradeoffs" with "limitations" and omitted the "own governance blind spots" requirement; identifying these gaps required reading the rubric's exact language and recognizing what was absent. Third, theoretical framing: connecting the Build Log failures to objective function misspecification as a named course concept, and recognizing that it applies identically to the Advisor's governance failures and to Claude's coding failures, required reasoning about the structure of both failures simultaneously. Claude described what happened in each case; it did not identify the shared mechanism.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spacing w:before="100"/>
      <w:jc w:val="right"/>
    </w:pPr>
    <w:r>
      <w:rPr>
        <w:rFonts w:ascii="Times New Roman" w:cs="Times New Roman" w:eastAsia="Times New Roman" w:hAnsi="Times New Roman"/>
        <w:color w:val="888888"/>
        <w:sz w:val="20"/>
        <w:szCs w:val="20"/>
      </w:rPr>
      <w:t xml:space="preserve">LGST 2420 · Option 2: Build · Prof. Werbach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basedOn w:val="Normal"/>
    <w:pPr>
      <w:spacing w:line="276"/>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2026-05-01T20:33:15.642Z</dcterms:created>
  <dcterms:modified xsi:type="dcterms:W3CDTF">2026-05-01T20:33:15.643Z</dcterms:modified>
</cp:coreProperties>
</file>

<file path=docProps/custom.xml><?xml version="1.0" encoding="utf-8"?>
<Properties xmlns="http://schemas.openxmlformats.org/officeDocument/2006/custom-properties" xmlns:vt="http://schemas.openxmlformats.org/officeDocument/2006/docPropsVTypes"/>
</file>