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Verification of Handwritten Signatures</w:t>
        <w:br/>
        <w:t>Obscured by Stamps</w:t>
      </w:r>
    </w:p>
    <w:p>
      <w:pPr>
        <w:spacing w:after="320"/>
        <w:jc w:val="center"/>
      </w:pPr>
      <w:r>
        <w:rPr>
          <w:sz w:val="21"/>
        </w:rPr>
        <w:t>Matej Gaberc</w:t>
        <w:br/>
        <w:t>Initial research proposal</w:t>
        <w:br/>
        <w:t>29 October 2026</w:t>
      </w:r>
    </w:p>
    <w:p>
      <w:pPr>
        <w:pStyle w:val="Heading1"/>
      </w:pPr>
      <w:r>
        <w:t>Abstract</w:t>
      </w:r>
    </w:p>
    <w:p>
      <w:r>
        <w:t>This proposal investigates how to verify handwritten signatures when stamps obscure part of the handwriting. The central hypothesis is that the remaining visible evidence can support a more reliable comparison if regions are weighted according to their usability. The study will compare whole-image verification, ordinary regional averaging, visibility-aware scoring and, where feasible, restoration before verification. A progression from simple feature extraction to selected more complex architectures will test whether added complexity improves the balance between errors and processing cost. Training with clean and stamped signatures will be evaluated for generalization to unfamiliar writers and stamps. The intended outcome is an evaluated prototype for document reviewers, accompanied by a controlled human comparison and clear criteria for referring uncertain cases.</w:t>
      </w:r>
    </w:p>
    <w:p>
      <w:pPr>
        <w:pStyle w:val="Heading1"/>
      </w:pPr>
      <w:r>
        <w:t>Background and practical problem</w:t>
      </w:r>
    </w:p>
    <w:p>
      <w:r>
        <w:t>Despite the adoption of cryptographic digital signatures in electronic workflows, handwritten signatures remain in use in banking, business contracts and document administration [</w:t>
      </w:r>
      <w:hyperlink w:anchor="ref1" w:history="1">
        <w:r>
          <w:rPr>
            <w:color w:val="245D86"/>
            <w:u w:val="single"/>
          </w:rPr>
          <w:t>1</w:t>
        </w:r>
      </w:hyperlink>
      <w:r>
        <w:t xml:space="preserve">, </w:t>
      </w:r>
      <w:hyperlink w:anchor="ref3" w:history="1">
        <w:r>
          <w:rPr>
            <w:color w:val="245D86"/>
            <w:u w:val="single"/>
          </w:rPr>
          <w:t>3</w:t>
        </w:r>
      </w:hyperlink>
      <w:r>
        <w:t>]</w:t>
      </w:r>
      <w:r>
        <w:t>. Offline verification uses a scanned or photographed image. It lacks the timing, pressure and pen movement available during online handwriting capture [</w:t>
      </w:r>
      <w:hyperlink w:anchor="ref2" w:history="1">
        <w:r>
          <w:rPr>
            <w:color w:val="245D86"/>
            <w:u w:val="single"/>
          </w:rPr>
          <w:t>2</w:t>
        </w:r>
      </w:hyperlink>
      <w:r>
        <w:t>]</w:t>
      </w:r>
      <w:r>
        <w:t>. Genuine signatures naturally vary, while a skilled imitation can closely resemble a reference. The task is therefore to distinguish acceptable personal variation from evidence of forgery, rather than demand a pixel-perfect match.</w:t>
      </w:r>
    </w:p>
    <w:p>
      <w:r>
        <w:t>Stamp overlap adds a second difficulty: stamp ink can hide distinctive strokes and introduce patterns that a verifier mistakes for handwriting [</w:t>
      </w:r>
      <w:hyperlink w:anchor="ref1" w:history="1">
        <w:r>
          <w:rPr>
            <w:color w:val="245D86"/>
            <w:u w:val="single"/>
          </w:rPr>
          <w:t>1</w:t>
        </w:r>
      </w:hyperlink>
      <w:r>
        <w:t>]</w:t>
      </w:r>
      <w:r>
        <w:t>. Cleaning can help, but may also remove genuine strokes or generate plausible replacements. An attractive restored image does not establish that the underlying identity evidence has survived. The intended workflow uses clean genuine references and stamped queries; actual reference availability will be confirmed before a company pilot.</w:t>
      </w:r>
    </w:p>
    <w:p>
      <w:r>
        <w:t>The practical aim is to help reviewers decide whether a questioned signature is consistent with genuine references, while making the limits of the available image evidence visible. The research will investigate whether the selected system can match or exceed human reviewer performance under defined test conditions. It will also assess whether assistance from the model improves the review process.</w:t>
      </w:r>
    </w:p>
    <w:p>
      <w:pPr>
        <w:pStyle w:val="Heading1"/>
        <w:pageBreakBefore/>
      </w:pPr>
      <w:r>
        <w:t>Research questions</w:t>
      </w:r>
    </w:p>
    <w:p>
      <w:pPr>
        <w:pStyle w:val="Heading2"/>
      </w:pPr>
      <w:r>
        <w:t>Main question</w:t>
      </w:r>
    </w:p>
    <w:p>
      <w:pPr>
        <w:keepNext/>
        <w:spacing w:after="140"/>
      </w:pPr>
      <w:r>
        <w:rPr>
          <w:b/>
        </w:rPr>
        <w:t>Can visibility-aware regional comparison improve verification of stamped signatures while maintaining reliable rejection of forgeries?</w:t>
      </w:r>
    </w:p>
    <w:p>
      <w:r>
        <w:t>A whole-image representation can be influenced by stamp patterns, while ordinary regional averaging gives corrupted and useful regions equal influence. P6 provides a regional comparison framework but does not test stamp-dependent reliability [</w:t>
      </w:r>
      <w:hyperlink w:anchor="ref7" w:history="1">
        <w:r>
          <w:rPr>
            <w:color w:val="245D86"/>
            <w:u w:val="single"/>
          </w:rPr>
          <w:t>7</w:t>
        </w:r>
      </w:hyperlink>
      <w:r>
        <w:t>]</w:t>
      </w:r>
      <w:r>
        <w:t>. Visible loops, connections and stroke endings may remain informative when other parts are obscured. The proposed extension will estimate usable handwriting in each region and reduce the influence of unreliable comparisons. The key experiment will hold the regional verifier fixed and compare equal averaging with visibility weighting. It must check whether weighting helps genuine signatures without hiding the differences that reveal a forgery.</w:t>
      </w:r>
    </w:p>
    <w:p>
      <w:pPr>
        <w:pStyle w:val="Heading2"/>
      </w:pPr>
      <w:r>
        <w:t>Secondary question 1  Complexity and architecture</w:t>
      </w:r>
    </w:p>
    <w:p>
      <w:pPr>
        <w:keepNext/>
        <w:spacing w:after="140"/>
      </w:pPr>
      <w:r>
        <w:rPr>
          <w:b/>
        </w:rPr>
        <w:t>How much does increasing model and pipeline complexity improve verification performance relative to its computational cost?</w:t>
      </w:r>
    </w:p>
    <w:p>
      <w:r>
        <w:t>Start with a shared CNN representation and a simple comparison rule. Then evaluate selected additions, such as multi-scale features, spatial alignment or a CNN–transformer hybrid combining local strokes with broader relationships. The comparison will measure the benefit of each justified addition alongside latency and model size. More layers or branches will be retained only when their measured benefit warrants them.</w:t>
      </w:r>
    </w:p>
    <w:p>
      <w:pPr>
        <w:pStyle w:val="Heading2"/>
      </w:pPr>
      <w:r>
        <w:t>Secondary question 2  Stamp handling strategy</w:t>
      </w:r>
    </w:p>
    <w:p>
      <w:pPr>
        <w:keepNext/>
        <w:spacing w:after="140"/>
      </w:pPr>
      <w:r>
        <w:rPr>
          <w:b/>
        </w:rPr>
        <w:t>Which strategy performs best under different stamp conditions: direct verification, visibility-aware comparison or restoration followed by verification?</w:t>
      </w:r>
    </w:p>
    <w:p>
      <w:r>
        <w:t>Compare these routes on identical queries with different stamp positions, colours and overlap levels. Restoration may expose useful structure but may also remove or invent strokes. The aim is to identify when each strategy is useful and when the image should be referred for human review.</w:t>
      </w:r>
    </w:p>
    <w:p>
      <w:pPr>
        <w:pStyle w:val="Heading2"/>
      </w:pPr>
      <w:r>
        <w:t>Secondary question 3  Training and transfer</w:t>
      </w:r>
    </w:p>
    <w:p>
      <w:pPr>
        <w:keepNext/>
        <w:spacing w:after="140"/>
      </w:pPr>
      <w:r>
        <w:rPr>
          <w:b/>
        </w:rPr>
        <w:t>How do training data and clean–stamped training strategies affect generalization to unseen writers, stamp designs and real documents?</w:t>
      </w:r>
    </w:p>
    <w:p>
      <w:r>
        <w:t>Compare clean-only training with stamp augmentation and, if justified, clean–stamped pair learning. Hold out writers and stamp templates to test whether the model learns handwriting identity rather than familiar stamp patterns. A separate physical-data pilot will examine transfer where suitable data are available.</w:t>
      </w:r>
    </w:p>
    <w:p>
      <w:pPr>
        <w:pStyle w:val="Heading1"/>
        <w:pageBreakBefore/>
      </w:pPr>
      <w:r>
        <w:t>Related work</w:t>
      </w:r>
    </w:p>
    <w:p>
      <w:pPr>
        <w:pStyle w:val="Heading2"/>
      </w:pPr>
      <w:r>
        <w:t>Real document verification</w:t>
      </w:r>
    </w:p>
    <w:p>
      <w:r>
        <w:t>Engin et al. [</w:t>
      </w:r>
      <w:hyperlink w:anchor="ref1" w:history="1">
        <w:r>
          <w:rPr>
            <w:color w:val="245D86"/>
            <w:u w:val="single"/>
          </w:rPr>
          <w:t>1</w:t>
        </w:r>
      </w:hyperlink>
      <w:r>
        <w:t>]</w:t>
      </w:r>
      <w:r>
        <w:t xml:space="preserve"> study the directly relevant setting of clean reference signatures and occluded queries from real banking documents. Their pipeline combines CycleGAN stamp cleaning with CNN representations and cosine similarity. Cleaning improves verification in their experiments, but the human comparison shows that the task remains difficult. This motivates evaluating verification decisions, rather than judging cleaning by appearance alone.</w:t>
      </w:r>
    </w:p>
    <w:p>
      <w:pPr>
        <w:pStyle w:val="Heading2"/>
      </w:pPr>
      <w:r>
        <w:t>Feature learning and architectures</w:t>
      </w:r>
    </w:p>
    <w:p>
      <w:r>
        <w:t>Hafemann et al. [</w:t>
      </w:r>
      <w:hyperlink w:anchor="ref2" w:history="1">
        <w:r>
          <w:rPr>
            <w:color w:val="245D86"/>
            <w:u w:val="single"/>
          </w:rPr>
          <w:t>2</w:t>
        </w:r>
      </w:hyperlink>
      <w:r>
        <w:t>]</w:t>
      </w:r>
      <w:r>
        <w:t xml:space="preserve"> learn shared CNN features and use a separate support vector machine (SVM) for each enrolled writer. Their work distinguishes a transferable representation from the final decision method. Xiao and Wu [</w:t>
      </w:r>
      <w:hyperlink w:anchor="ref3" w:history="1">
        <w:r>
          <w:rPr>
            <w:color w:val="245D86"/>
            <w:u w:val="single"/>
          </w:rPr>
          <w:t>3</w:t>
        </w:r>
      </w:hyperlink>
      <w:r>
        <w:t>]</w:t>
      </w:r>
      <w:r>
        <w:t xml:space="preserve"> combine a Siamese comparison setup with spatial transformation and focal loss. Zheng et al. [</w:t>
      </w:r>
      <w:hyperlink w:anchor="ref4" w:history="1">
        <w:r>
          <w:rPr>
            <w:color w:val="245D86"/>
            <w:u w:val="single"/>
          </w:rPr>
          <w:t>4</w:t>
        </w:r>
      </w:hyperlink>
      <w:r>
        <w:t>]</w:t>
      </w:r>
      <w:r>
        <w:t xml:space="preserve"> combine convolutional and transformer branches in HTCSigNet to represent local handwriting details and broader spatial relationships. These papers motivate architecture and training alternatives; their evaluations do not establish robustness to stamps.</w:t>
      </w:r>
    </w:p>
    <w:p>
      <w:pPr>
        <w:pStyle w:val="Heading2"/>
      </w:pPr>
      <w:r>
        <w:t>Regional and alternative representations</w:t>
      </w:r>
    </w:p>
    <w:p>
      <w:r>
        <w:t>Liu et al. [</w:t>
      </w:r>
      <w:hyperlink w:anchor="ref7" w:history="1">
        <w:r>
          <w:rPr>
            <w:color w:val="245D86"/>
            <w:u w:val="single"/>
          </w:rPr>
          <w:t>7</w:t>
        </w:r>
      </w:hyperlink>
      <w:r>
        <w:t>]</w:t>
      </w:r>
      <w:r>
        <w:t xml:space="preserve"> compare corresponding signature regions using a shared metric-learning network and fuse regional scores by averaging. This provides the closest starting point for testing whether reliable visible regions deserve different weights. Giazitzis and Zois [</w:t>
      </w:r>
      <w:hyperlink w:anchor="ref8" w:history="1">
        <w:r>
          <w:rPr>
            <w:color w:val="245D86"/>
            <w:u w:val="single"/>
          </w:rPr>
          <w:t>8</w:t>
        </w:r>
      </w:hyperlink>
      <w:r>
        <w:t>]</w:t>
      </w:r>
      <w:r>
        <w:t xml:space="preserve"> offer a different representation based on covariance matrices and Riemannian metric learning. CCASigNet [</w:t>
      </w:r>
      <w:hyperlink w:anchor="ref9" w:history="1">
        <w:r>
          <w:rPr>
            <w:color w:val="245D86"/>
            <w:u w:val="single"/>
          </w:rPr>
          <w:t>9</w:t>
        </w:r>
      </w:hyperlink>
      <w:r>
        <w:t>]</w:t>
      </w:r>
      <w:r>
        <w:t xml:space="preserve"> uses correlation-based pair learning before writer-dependent classification. These alternatives show that representation, training objective and decision rule can be studied separately.</w:t>
      </w:r>
    </w:p>
    <w:p>
      <w:pPr>
        <w:pStyle w:val="Heading2"/>
      </w:pPr>
      <w:r>
        <w:t>Restoration and preservation of evidence</w:t>
      </w:r>
    </w:p>
    <w:p>
      <w:r>
        <w:t>For restoration, Lee et al. [</w:t>
      </w:r>
      <w:hyperlink w:anchor="ref5" w:history="1">
        <w:r>
          <w:rPr>
            <w:color w:val="245D86"/>
            <w:u w:val="single"/>
          </w:rPr>
          <w:t>5</w:t>
        </w:r>
      </w:hyperlink>
      <w:r>
        <w:t>]</w:t>
      </w:r>
      <w:r>
        <w:t xml:space="preserve"> investigate physical versus synthetic stamp data using a diffusion model. Their EA-RMSE evaluation distinguishes residual interference from missing content. SERGAN [</w:t>
      </w:r>
      <w:hyperlink w:anchor="ref6" w:history="1">
        <w:r>
          <w:rPr>
            <w:color w:val="245D86"/>
            <w:u w:val="single"/>
          </w:rPr>
          <w:t>6</w:t>
        </w:r>
      </w:hyperlink>
      <w:r>
        <w:t>]</w:t>
      </w:r>
      <w:r>
        <w:t xml:space="preserve"> jointly extracts stamps and cleans documents through a double-cycle GAN. Neither study establishes preservation of writer identity in signatures. Together, the literature supports testing a visibility-aware verifier against controlled alternatives. Whether this particular adaptation improves forgery rejection remains an open question; the reviewed papers alone do not establish its novelty.</w:t>
      </w:r>
    </w:p>
    <w:p>
      <w:pPr>
        <w:keepNext/>
        <w:spacing w:before="80" w:after="80"/>
        <w:jc w:val="center"/>
      </w:pPr>
      <w:r>
        <w:drawing>
          <wp:inline xmlns:a="http://schemas.openxmlformats.org/drawingml/2006/main" xmlns:pic="http://schemas.openxmlformats.org/drawingml/2006/picture">
            <wp:extent cx="5897880" cy="1763582"/>
            <wp:docPr id="1" name="Picture 1" descr="Conceptual regional reliability illustration"/>
            <wp:cNvGraphicFramePr>
              <a:graphicFrameLocks noChangeAspect="1"/>
            </wp:cNvGraphicFramePr>
            <a:graphic>
              <a:graphicData uri="http://schemas.openxmlformats.org/drawingml/2006/picture">
                <pic:pic>
                  <pic:nvPicPr>
                    <pic:cNvPr id="0" name="02-regional-reliability.png"/>
                    <pic:cNvPicPr/>
                  </pic:nvPicPr>
                  <pic:blipFill>
                    <a:blip r:embed="rId9"/>
                    <a:stretch>
                      <a:fillRect/>
                    </a:stretch>
                  </pic:blipFill>
                  <pic:spPr>
                    <a:xfrm>
                      <a:off x="0" y="0"/>
                      <a:ext cx="5897880" cy="1763582"/>
                    </a:xfrm>
                    <a:prstGeom prst="rect"/>
                  </pic:spPr>
                </pic:pic>
              </a:graphicData>
            </a:graphic>
          </wp:inline>
        </w:drawing>
      </w:r>
    </w:p>
    <w:p>
      <w:pPr>
        <w:pStyle w:val="Caption"/>
      </w:pPr>
      <w:r>
        <w:t>Figure 1. The proposed principle of regional weighting. This fictional trace illustrates stamp interference in one region. Greater visible area is useful only when it contains discriminative handwriting evidence.</w:t>
      </w:r>
    </w:p>
    <w:p>
      <w:pPr>
        <w:pStyle w:val="Heading1"/>
        <w:pageBreakBefore/>
      </w:pPr>
      <w:r>
        <w:t>Proposed stamp handling and removal</w:t>
      </w:r>
    </w:p>
    <w:p>
      <w:r>
        <w:t>The first stage will assess stamp interference while preserving the original query. Stamp removal is one of the routes to evaluate, rather than a prerequisite for every comparison. The system will distinguish locating stamp interference, estimating usable handwriting and reconstructing a cleaned image: these operations answer different questions.</w:t>
      </w:r>
    </w:p>
    <w:p>
      <w:pPr>
        <w:pStyle w:val="Heading2"/>
      </w:pPr>
      <w:r>
        <w:t>Preserve the original query</w:t>
      </w:r>
    </w:p>
    <w:p>
      <w:r>
        <w:t>The untreated stamped image provides a direct-verification baseline and remains available to the reviewer. Keeping it also makes it possible to inspect whether a later mask or restoration output changes important strokes.</w:t>
      </w:r>
    </w:p>
    <w:p>
      <w:pPr>
        <w:pStyle w:val="Heading2"/>
      </w:pPr>
      <w:r>
        <w:t>Estimate stamp interference and usable regions</w:t>
      </w:r>
    </w:p>
    <w:p>
      <w:r>
        <w:t>A stamp estimator will use known synthetic masks as training supervision. A simple colour-based estimator can provide an initial baseline where ink colours differ; a learned estimator can then be evaluated across more difficult conditions. Its practical output will be a predicted interference map. Regional reliability will combine that map with an estimate of usable handwriting, so that empty background is not mistaken for strong evidence.</w:t>
      </w:r>
    </w:p>
    <w:p>
      <w:pPr>
        <w:pStyle w:val="Heading2"/>
      </w:pPr>
      <w:r>
        <w:t>Evaluate restoration before verification</w:t>
      </w:r>
    </w:p>
    <w:p>
      <w:r>
        <w:t>Select one feasible restoration route from the reviewed GAN or conditional-diffusion approaches [</w:t>
      </w:r>
      <w:hyperlink w:anchor="ref1" w:history="1">
        <w:r>
          <w:rPr>
            <w:color w:val="245D86"/>
            <w:u w:val="single"/>
          </w:rPr>
          <w:t>1</w:t>
        </w:r>
      </w:hyperlink>
      <w:r>
        <w:t xml:space="preserve">, </w:t>
      </w:r>
      <w:hyperlink w:anchor="ref5" w:history="1">
        <w:r>
          <w:rPr>
            <w:color w:val="245D86"/>
            <w:u w:val="single"/>
          </w:rPr>
          <w:t>5</w:t>
        </w:r>
      </w:hyperlink>
      <w:r>
        <w:t xml:space="preserve">, </w:t>
      </w:r>
      <w:hyperlink w:anchor="ref6" w:history="1">
        <w:r>
          <w:rPr>
            <w:color w:val="245D86"/>
            <w:u w:val="single"/>
          </w:rPr>
          <w:t>6</w:t>
        </w:r>
      </w:hyperlink>
      <w:r>
        <w:t>]</w:t>
      </w:r>
      <w:r>
        <w:t>. Compare its cleaned queries with the untreated versions using the same downstream verifier. Where paired clean images exist, inspect both remaining stamp ink and altered signature content, alongside verification errors and runtime. The proposal does not require inventing a new cleaner; it asks whether cleaning improves identity comparison enough to justify its risks and cost.</w:t>
      </w:r>
    </w:p>
    <w:p>
      <w:pPr>
        <w:pStyle w:val="Heading1"/>
      </w:pPr>
      <w:r>
        <w:t>Proposed verification system</w:t>
      </w:r>
    </w:p>
    <w:p>
      <w:r>
        <w:t>The prototype will initially accept cropped reference and query signatures. A Siamese setup will apply a shared feature extractor to both sides of the comparison. The shared model will learn from development writers and then compare signatures from new writers using their genuine references, without retraining the entire neural network.</w:t>
      </w:r>
    </w:p>
    <w:p>
      <w:pPr>
        <w:keepNext/>
        <w:spacing w:before="80" w:after="80"/>
        <w:jc w:val="center"/>
      </w:pPr>
      <w:r>
        <w:drawing>
          <wp:inline xmlns:a="http://schemas.openxmlformats.org/drawingml/2006/main" xmlns:pic="http://schemas.openxmlformats.org/drawingml/2006/picture">
            <wp:extent cx="5897880" cy="1474470"/>
            <wp:docPr id="2" name="Picture 2" descr="Proposed shared verification pipeline"/>
            <wp:cNvGraphicFramePr>
              <a:graphicFrameLocks noChangeAspect="1"/>
            </wp:cNvGraphicFramePr>
            <a:graphic>
              <a:graphicData uri="http://schemas.openxmlformats.org/drawingml/2006/picture">
                <pic:pic>
                  <pic:nvPicPr>
                    <pic:cNvPr id="0" name="01-proposed-pipeline.png"/>
                    <pic:cNvPicPr/>
                  </pic:nvPicPr>
                  <pic:blipFill>
                    <a:blip r:embed="rId10"/>
                    <a:stretch>
                      <a:fillRect/>
                    </a:stretch>
                  </pic:blipFill>
                  <pic:spPr>
                    <a:xfrm>
                      <a:off x="0" y="0"/>
                      <a:ext cx="5897880" cy="1474470"/>
                    </a:xfrm>
                    <a:prstGeom prst="rect"/>
                  </pic:spPr>
                </pic:pic>
              </a:graphicData>
            </a:graphic>
          </wp:inline>
        </w:drawing>
      </w:r>
    </w:p>
    <w:p>
      <w:pPr>
        <w:pStyle w:val="Caption"/>
      </w:pPr>
      <w:r>
        <w:t>Figure 2. Proposed verification pipeline. The original query supports direct comparison and reliability estimation. A restored version can be tested as a separate input route. The diagram represents the proposed design.</w:t>
      </w:r>
    </w:p>
    <w:p>
      <w:r>
        <w:t>The main experiment will compare corresponding local regions and combine their scores using estimated reliability. A whole-image score provides a baseline. Scores across references will provisionally be averaged. A validation-selected threshold and minimum-evidence rule will produce a match assessment or a request for human review. A similarity score will not be presented as a calibrated probability of authenticity.</w:t>
      </w:r>
    </w:p>
    <w:p>
      <w:pPr>
        <w:pStyle w:val="Heading1"/>
        <w:pageBreakBefore/>
      </w:pPr>
      <w:r>
        <w:t>Data and training</w:t>
      </w:r>
    </w:p>
    <w:p>
      <w:r>
        <w:t>The core study will use a public signature dataset containing genuine signatures and documented forgeries, with synthetic stamp overlays added under controlled conditions. CEDAR is a provisional small feasibility benchmark [</w:t>
      </w:r>
      <w:hyperlink w:anchor="ref10" w:history="1">
        <w:r>
          <w:rPr>
            <w:color w:val="245D86"/>
            <w:u w:val="single"/>
          </w:rPr>
          <w:t>10</w:t>
        </w:r>
      </w:hyperlink>
      <w:r>
        <w:t>]</w:t>
      </w:r>
      <w:r>
        <w:t>. Larger development candidates include BHSig260 and GPDS Synthetic, subject to verification of original access conditions, labels and suitability. GPDS Synthetic requires a research agreement [</w:t>
      </w:r>
      <w:hyperlink w:anchor="ref11" w:history="1">
        <w:r>
          <w:rPr>
            <w:color w:val="245D86"/>
            <w:u w:val="single"/>
          </w:rPr>
          <w:t>11</w:t>
        </w:r>
      </w:hyperlink>
      <w:r>
        <w:t>]</w:t>
      </w:r>
      <w:r>
        <w:t>; its generated signatures and forgeries must be distinguished from human handwriting and skilled imitations. Research access will not be assumed to permit commercial use or redistribution.</w:t>
      </w:r>
    </w:p>
    <w:p>
      <w:pPr>
        <w:pStyle w:val="Heading2"/>
      </w:pPr>
      <w:r>
        <w:t>Separate writers and stamp designs</w:t>
      </w:r>
    </w:p>
    <w:p>
      <w:r>
        <w:t>Writers will be separated into training, validation and test groups before constructing pairs or augmentations. Stamp templates will also be held out. The same source queries, reference sets and stamp instances will be used across methods, with stamp distributions balanced between genuine and forged queries. The main enrollment setting will use three clean references; one and five references will be tested where supported. Query images will never serve as their own references.</w:t>
      </w:r>
    </w:p>
    <w:p>
      <w:pPr>
        <w:pStyle w:val="Heading2"/>
      </w:pPr>
      <w:r>
        <w:t>Compare training conditions</w:t>
      </w:r>
    </w:p>
    <w:p>
      <w:r>
        <w:t>Training will compare clean-only examples with matched stamp augmentation. A further candidate is pairwise learning that brings clean and stamped genuine signatures closer while retaining separation from forgeries. Stamp colour, opacity, placement and blur will vary. Evaluation will distinguish physical stamps from digital overlays and examine increasing overlap with the original signature foreground, rather than simply counting stamped background area.</w:t>
      </w:r>
    </w:p>
    <w:p>
      <w:pPr>
        <w:pStyle w:val="Heading1"/>
      </w:pPr>
      <w:r>
        <w:t>Controlled method comparisons</w:t>
      </w:r>
    </w:p>
    <w:tbl>
      <w:tblPr>
        <w:tblW w:type="auto" w:w="0"/>
        <w:jc w:val="center"/>
        <w:tblLayout w:type="fixed"/>
        <w:tblLook w:firstColumn="1" w:firstRow="1" w:lastColumn="0" w:lastRow="0" w:noHBand="0" w:noVBand="1" w:val="04A0"/>
      </w:tblPr>
      <w:tblGrid>
        <w:gridCol w:w="3515"/>
        <w:gridCol w:w="5783"/>
      </w:tblGrid>
      <w:tr>
        <w:trPr>
          <w:tblHeader/>
          <w:cantSplit/>
        </w:trPr>
        <w:tc>
          <w:tcPr>
            <w:tcW w:type="dxa" w:w="3515"/>
            <w:vAlign w:val="center"/>
            <w:tcBorders>
              <w:top w:val="single" w:color="D9D9D9" w:sz="4"/>
              <w:bottom w:val="single" w:color="D9D9D9" w:sz="4"/>
              <w:left w:val="single" w:color="D9D9D9" w:sz="4"/>
              <w:right w:val="single" w:color="D9D9D9" w:sz="4"/>
            </w:tcBorders>
            <w:tcMar>
              <w:top w:w="105" w:type="dxa"/>
              <w:bottom w:w="105" w:type="dxa"/>
              <w:left w:w="105" w:type="dxa"/>
              <w:right w:w="105" w:type="dxa"/>
            </w:tcMar>
            <w:shd w:fill="EDF2F6"/>
          </w:tcPr>
          <w:p>
            <w:pPr>
              <w:spacing w:line="264" w:lineRule="auto" w:after="40"/>
            </w:pPr>
            <w:r>
              <w:rPr>
                <w:b/>
                <w:sz w:val="21"/>
              </w:rPr>
              <w:t>Method</w:t>
            </w:r>
          </w:p>
        </w:tc>
        <w:tc>
          <w:tcPr>
            <w:tcW w:type="dxa" w:w="5783"/>
            <w:vAlign w:val="center"/>
            <w:tcBorders>
              <w:top w:val="single" w:color="D9D9D9" w:sz="4"/>
              <w:bottom w:val="single" w:color="D9D9D9" w:sz="4"/>
              <w:left w:val="single" w:color="D9D9D9" w:sz="4"/>
              <w:right w:val="single" w:color="D9D9D9" w:sz="4"/>
            </w:tcBorders>
            <w:tcMar>
              <w:top w:w="105" w:type="dxa"/>
              <w:bottom w:w="105" w:type="dxa"/>
              <w:left w:w="105" w:type="dxa"/>
              <w:right w:w="105" w:type="dxa"/>
            </w:tcMar>
            <w:shd w:fill="EDF2F6"/>
          </w:tcPr>
          <w:p>
            <w:pPr>
              <w:spacing w:line="264" w:lineRule="auto" w:after="40"/>
            </w:pPr>
            <w:r>
              <w:rPr>
                <w:b/>
                <w:sz w:val="21"/>
              </w:rPr>
              <w:t>Purpose</w:t>
            </w:r>
          </w:p>
        </w:tc>
      </w:tr>
      <w:tr>
        <w:trPr>
          <w:cantSplit/>
        </w:trPr>
        <w:tc>
          <w:tcPr>
            <w:tcW w:type="dxa" w:w="3515"/>
            <w:vAlign w:val="center"/>
            <w:tcBorders>
              <w:top w:val="single" w:color="D9D9D9" w:sz="4"/>
              <w:bottom w:val="single" w:color="D9D9D9" w:sz="4"/>
              <w:left w:val="single" w:color="D9D9D9" w:sz="4"/>
              <w:right w:val="single" w:color="D9D9D9" w:sz="4"/>
            </w:tcBorders>
            <w:tcMar>
              <w:top w:w="105" w:type="dxa"/>
              <w:bottom w:w="105" w:type="dxa"/>
              <w:left w:w="105" w:type="dxa"/>
              <w:right w:w="105" w:type="dxa"/>
            </w:tcMar>
          </w:tcPr>
          <w:p>
            <w:pPr>
              <w:spacing w:line="264" w:lineRule="auto" w:after="40"/>
            </w:pPr>
            <w:r>
              <w:rPr>
                <w:b w:val="0"/>
                <w:sz w:val="21"/>
              </w:rPr>
              <w:t>Whole-image comparison</w:t>
            </w:r>
          </w:p>
        </w:tc>
        <w:tc>
          <w:tcPr>
            <w:tcW w:type="dxa" w:w="5783"/>
            <w:vAlign w:val="center"/>
            <w:tcBorders>
              <w:top w:val="single" w:color="D9D9D9" w:sz="4"/>
              <w:bottom w:val="single" w:color="D9D9D9" w:sz="4"/>
              <w:left w:val="single" w:color="D9D9D9" w:sz="4"/>
              <w:right w:val="single" w:color="D9D9D9" w:sz="4"/>
            </w:tcBorders>
            <w:tcMar>
              <w:top w:w="105" w:type="dxa"/>
              <w:bottom w:w="105" w:type="dxa"/>
              <w:left w:w="105" w:type="dxa"/>
              <w:right w:w="105" w:type="dxa"/>
            </w:tcMar>
          </w:tcPr>
          <w:p>
            <w:pPr>
              <w:spacing w:line="264" w:lineRule="auto" w:after="40"/>
            </w:pPr>
            <w:r>
              <w:rPr>
                <w:b w:val="0"/>
                <w:sz w:val="21"/>
              </w:rPr>
              <w:t>Establish a simple shared CNN baseline.</w:t>
            </w:r>
          </w:p>
        </w:tc>
      </w:tr>
      <w:tr>
        <w:trPr>
          <w:cantSplit/>
        </w:trPr>
        <w:tc>
          <w:tcPr>
            <w:tcW w:type="dxa" w:w="3515"/>
            <w:vAlign w:val="center"/>
            <w:tcBorders>
              <w:top w:val="single" w:color="D9D9D9" w:sz="4"/>
              <w:bottom w:val="single" w:color="D9D9D9" w:sz="4"/>
              <w:left w:val="single" w:color="D9D9D9" w:sz="4"/>
              <w:right w:val="single" w:color="D9D9D9" w:sz="4"/>
            </w:tcBorders>
            <w:tcMar>
              <w:top w:w="105" w:type="dxa"/>
              <w:bottom w:w="105" w:type="dxa"/>
              <w:left w:w="105" w:type="dxa"/>
              <w:right w:w="105" w:type="dxa"/>
            </w:tcMar>
          </w:tcPr>
          <w:p>
            <w:pPr>
              <w:spacing w:line="264" w:lineRule="auto" w:after="40"/>
            </w:pPr>
            <w:r>
              <w:rPr>
                <w:b w:val="0"/>
                <w:sz w:val="21"/>
              </w:rPr>
              <w:t>Regional equal averaging</w:t>
            </w:r>
          </w:p>
        </w:tc>
        <w:tc>
          <w:tcPr>
            <w:tcW w:type="dxa" w:w="5783"/>
            <w:vAlign w:val="center"/>
            <w:tcBorders>
              <w:top w:val="single" w:color="D9D9D9" w:sz="4"/>
              <w:bottom w:val="single" w:color="D9D9D9" w:sz="4"/>
              <w:left w:val="single" w:color="D9D9D9" w:sz="4"/>
              <w:right w:val="single" w:color="D9D9D9" w:sz="4"/>
            </w:tcBorders>
            <w:tcMar>
              <w:top w:w="105" w:type="dxa"/>
              <w:bottom w:w="105" w:type="dxa"/>
              <w:left w:w="105" w:type="dxa"/>
              <w:right w:w="105" w:type="dxa"/>
            </w:tcMar>
          </w:tcPr>
          <w:p>
            <w:pPr>
              <w:spacing w:line="264" w:lineRule="auto" w:after="40"/>
            </w:pPr>
            <w:r>
              <w:rPr>
                <w:b w:val="0"/>
                <w:sz w:val="21"/>
              </w:rPr>
              <w:t>Measure regional comparison without visibility weighting.</w:t>
            </w:r>
          </w:p>
        </w:tc>
      </w:tr>
      <w:tr>
        <w:trPr>
          <w:cantSplit/>
        </w:trPr>
        <w:tc>
          <w:tcPr>
            <w:tcW w:type="dxa" w:w="3515"/>
            <w:vAlign w:val="center"/>
            <w:tcBorders>
              <w:top w:val="single" w:color="D9D9D9" w:sz="4"/>
              <w:bottom w:val="single" w:color="D9D9D9" w:sz="4"/>
              <w:left w:val="single" w:color="D9D9D9" w:sz="4"/>
              <w:right w:val="single" w:color="D9D9D9" w:sz="4"/>
            </w:tcBorders>
            <w:tcMar>
              <w:top w:w="105" w:type="dxa"/>
              <w:bottom w:w="105" w:type="dxa"/>
              <w:left w:w="105" w:type="dxa"/>
              <w:right w:w="105" w:type="dxa"/>
            </w:tcMar>
          </w:tcPr>
          <w:p>
            <w:pPr>
              <w:spacing w:line="264" w:lineRule="auto" w:after="40"/>
            </w:pPr>
            <w:r>
              <w:rPr>
                <w:b w:val="0"/>
                <w:sz w:val="21"/>
              </w:rPr>
              <w:t>Same regional model with weighting</w:t>
            </w:r>
          </w:p>
        </w:tc>
        <w:tc>
          <w:tcPr>
            <w:tcW w:type="dxa" w:w="5783"/>
            <w:vAlign w:val="center"/>
            <w:tcBorders>
              <w:top w:val="single" w:color="D9D9D9" w:sz="4"/>
              <w:bottom w:val="single" w:color="D9D9D9" w:sz="4"/>
              <w:left w:val="single" w:color="D9D9D9" w:sz="4"/>
              <w:right w:val="single" w:color="D9D9D9" w:sz="4"/>
            </w:tcBorders>
            <w:tcMar>
              <w:top w:w="105" w:type="dxa"/>
              <w:bottom w:w="105" w:type="dxa"/>
              <w:left w:w="105" w:type="dxa"/>
              <w:right w:w="105" w:type="dxa"/>
            </w:tcMar>
          </w:tcPr>
          <w:p>
            <w:pPr>
              <w:spacing w:line="264" w:lineRule="auto" w:after="40"/>
            </w:pPr>
            <w:r>
              <w:rPr>
                <w:b w:val="0"/>
                <w:sz w:val="21"/>
              </w:rPr>
              <w:t>Isolate the effect of the proposed reliability rule.</w:t>
            </w:r>
          </w:p>
        </w:tc>
      </w:tr>
      <w:tr>
        <w:trPr>
          <w:cantSplit/>
        </w:trPr>
        <w:tc>
          <w:tcPr>
            <w:tcW w:type="dxa" w:w="3515"/>
            <w:vAlign w:val="center"/>
            <w:tcBorders>
              <w:top w:val="single" w:color="D9D9D9" w:sz="4"/>
              <w:bottom w:val="single" w:color="D9D9D9" w:sz="4"/>
              <w:left w:val="single" w:color="D9D9D9" w:sz="4"/>
              <w:right w:val="single" w:color="D9D9D9" w:sz="4"/>
            </w:tcBorders>
            <w:tcMar>
              <w:top w:w="105" w:type="dxa"/>
              <w:bottom w:w="105" w:type="dxa"/>
              <w:left w:w="105" w:type="dxa"/>
              <w:right w:w="105" w:type="dxa"/>
            </w:tcMar>
          </w:tcPr>
          <w:p>
            <w:pPr>
              <w:spacing w:line="264" w:lineRule="auto" w:after="40"/>
            </w:pPr>
            <w:r>
              <w:rPr>
                <w:b w:val="0"/>
                <w:sz w:val="21"/>
              </w:rPr>
              <w:t>Selected architecture alternative</w:t>
            </w:r>
          </w:p>
        </w:tc>
        <w:tc>
          <w:tcPr>
            <w:tcW w:type="dxa" w:w="5783"/>
            <w:vAlign w:val="center"/>
            <w:tcBorders>
              <w:top w:val="single" w:color="D9D9D9" w:sz="4"/>
              <w:bottom w:val="single" w:color="D9D9D9" w:sz="4"/>
              <w:left w:val="single" w:color="D9D9D9" w:sz="4"/>
              <w:right w:val="single" w:color="D9D9D9" w:sz="4"/>
            </w:tcBorders>
            <w:tcMar>
              <w:top w:w="105" w:type="dxa"/>
              <w:bottom w:w="105" w:type="dxa"/>
              <w:left w:w="105" w:type="dxa"/>
              <w:right w:w="105" w:type="dxa"/>
            </w:tcMar>
          </w:tcPr>
          <w:p>
            <w:pPr>
              <w:spacing w:line="264" w:lineRule="auto" w:after="40"/>
            </w:pPr>
            <w:r>
              <w:rPr>
                <w:b w:val="0"/>
                <w:sz w:val="21"/>
              </w:rPr>
              <w:t>Compare a CNN–transformer hybrid under the same protocol.</w:t>
            </w:r>
          </w:p>
        </w:tc>
      </w:tr>
      <w:tr>
        <w:trPr>
          <w:cantSplit/>
        </w:trPr>
        <w:tc>
          <w:tcPr>
            <w:tcW w:type="dxa" w:w="3515"/>
            <w:vAlign w:val="center"/>
            <w:tcBorders>
              <w:top w:val="single" w:color="D9D9D9" w:sz="4"/>
              <w:bottom w:val="single" w:color="D9D9D9" w:sz="4"/>
              <w:left w:val="single" w:color="D9D9D9" w:sz="4"/>
              <w:right w:val="single" w:color="D9D9D9" w:sz="4"/>
            </w:tcBorders>
            <w:tcMar>
              <w:top w:w="105" w:type="dxa"/>
              <w:bottom w:w="105" w:type="dxa"/>
              <w:left w:w="105" w:type="dxa"/>
              <w:right w:w="105" w:type="dxa"/>
            </w:tcMar>
          </w:tcPr>
          <w:p>
            <w:pPr>
              <w:spacing w:line="264" w:lineRule="auto" w:after="40"/>
            </w:pPr>
            <w:r>
              <w:rPr>
                <w:b w:val="0"/>
                <w:sz w:val="21"/>
              </w:rPr>
              <w:t>Restoration before fixed verification</w:t>
            </w:r>
          </w:p>
        </w:tc>
        <w:tc>
          <w:tcPr>
            <w:tcW w:type="dxa" w:w="5783"/>
            <w:vAlign w:val="center"/>
            <w:tcBorders>
              <w:top w:val="single" w:color="D9D9D9" w:sz="4"/>
              <w:bottom w:val="single" w:color="D9D9D9" w:sz="4"/>
              <w:left w:val="single" w:color="D9D9D9" w:sz="4"/>
              <w:right w:val="single" w:color="D9D9D9" w:sz="4"/>
            </w:tcBorders>
            <w:tcMar>
              <w:top w:w="105" w:type="dxa"/>
              <w:bottom w:w="105" w:type="dxa"/>
              <w:left w:w="105" w:type="dxa"/>
              <w:right w:w="105" w:type="dxa"/>
            </w:tcMar>
          </w:tcPr>
          <w:p>
            <w:pPr>
              <w:spacing w:line="264" w:lineRule="auto" w:after="40"/>
            </w:pPr>
            <w:r>
              <w:rPr>
                <w:b w:val="0"/>
                <w:sz w:val="21"/>
              </w:rPr>
              <w:t>Optional comparison of cleaning, evidence loss and runtime.</w:t>
            </w:r>
          </w:p>
        </w:tc>
      </w:tr>
    </w:tbl>
    <w:p>
      <w:pPr>
        <w:spacing w:after="0" w:line="80" w:lineRule="exact"/>
      </w:pPr>
    </w:p>
    <w:p>
      <w:r>
        <w:t>The CNN and hybrid are representative candidates rather than presumed winners. A distance or personal-SVM comparator, covariance features, alignment or a different pairwise loss may be added to address a measured limitation. Each addition should isolate a useful question rather than create an exhaustive combination of every architecture and loss in the literature.</w:t>
      </w:r>
    </w:p>
    <w:p>
      <w:r>
        <w:t>For visibility weighting, known synthetic masks will provide a diagnostic comparison with predicted masks. They are not deployable inputs or a guaranteed accuracy upper bound. Alignment errors, overlapping windows and the amount of remaining handwriting will be examined. The public-data experiment remains the core study if a company pilot is unavailable.</w:t>
      </w:r>
    </w:p>
    <w:p>
      <w:pPr>
        <w:pStyle w:val="Heading1"/>
        <w:pageBreakBefore/>
      </w:pPr>
      <w:r>
        <w:t>Evaluation and human comparison</w:t>
      </w:r>
    </w:p>
    <w:p>
      <w:pPr>
        <w:pStyle w:val="Heading2"/>
      </w:pPr>
      <w:r>
        <w:t>Verification errors and operating threshold</w:t>
      </w:r>
    </w:p>
    <w:p>
      <w:r>
        <w:t>The primary outcome will be genuine-signature rejection at a threshold selected on validation data to meet a provisional false-acceptance target. A 1% target will be considered only if the available independent writers and forgeries support it; it is not a claim of operational safety. Each system’s threshold will be fixed before testing. Achieved test false-acceptance rate (FAR) and false-rejection rate (FRR) will be reported together, with writer-level uncertainty. Skilled forgeries and ordinary other-writer impostors will be reported separately.</w:t>
      </w:r>
    </w:p>
    <w:p>
      <w:pPr>
        <w:pStyle w:val="Heading2"/>
      </w:pPr>
      <w:r>
        <w:t>Complexity and referral to human review</w:t>
      </w:r>
    </w:p>
    <w:p>
      <w:r>
        <w:t>Supporting results will include equal error rate (EER), error curves, stamp-severity breakdowns, reference-count sensitivity, latency and memory on stated hardware. Architecture comparisons will document pretraining, parameter counts and tuning budgets. Reliability weighting will be compared with equal averaging using the same trained regional model. Any abstention rule will be selected on validation data; its coverage and errors will be reported together, including comparisons at a similar review workload.</w:t>
      </w:r>
    </w:p>
    <w:p>
      <w:pPr>
        <w:pStyle w:val="Heading2"/>
      </w:pPr>
      <w:r>
        <w:t>Compare reviewers and the model</w:t>
      </w:r>
    </w:p>
    <w:p>
      <w:r>
        <w:t>For the human comparison, reviewers and the frozen model will receive the same unseen queries and references. Reviewer experience, response time and permission to abstain will be recorded. Error rates will be compared on paired cases, distinguishing ordinary reviewers from forensic experts. If feasible, a further condition will test whether model assistance helps reviewers. Final test cases will not be reused to tune the system.</w:t>
      </w:r>
    </w:p>
    <w:p>
      <w:pPr>
        <w:pStyle w:val="Heading1"/>
      </w:pPr>
      <w:r>
        <w:t>Real document pilot and limitations</w:t>
      </w:r>
    </w:p>
    <w:p>
      <w:r>
        <w:t>An optional company pilot requires authorization, confirmed writer identities, genuine references and reliable authenticity labels. It will use a frozen pipeline and remain separate from public development data. If only genuine queries are available, it can measure genuine rejection and workflow behaviour, but cannot establish forgery-acceptance rates. Any consented imitation collection will document its procedure and distinguish human imitations from random impostors or digital manipulations.</w:t>
      </w:r>
    </w:p>
    <w:p>
      <w:r>
        <w:t>Heavy overlap can leave too little evidence for either a person or a model. Weighting can discard the very details that reveal imitation; predicted masks can confuse handwriting with stamps; restoration can alter identity-bearing content. Raw images will be retained, uncertain cases referred for review and restoration judged by downstream verification as well as content-preservation diagnostics.</w:t>
      </w:r>
    </w:p>
    <w:p>
      <w:pPr>
        <w:pStyle w:val="Heading1"/>
        <w:pageBreakBefore/>
      </w:pPr>
      <w:r>
        <w:t>Planned work and progression</w:t>
      </w:r>
    </w:p>
    <w:p>
      <w:r>
        <w:t>Implementation will begin after supervisor approval. Work will progress through the stages below; findings from each stage will guide the next comparison.</w:t>
      </w:r>
    </w:p>
    <w:p>
      <w:pPr>
        <w:pStyle w:val="Heading2"/>
      </w:pPr>
      <w:r>
        <w:t>1  Establish the data and a simple baseline</w:t>
      </w:r>
    </w:p>
    <w:p>
      <w:r>
        <w:t>Confirm dataset permissions, inspect labels and establish separate writers, reference sets and stamp templates. Implement a reproducible whole-image verifier and record its behaviour on clean and stamped queries.</w:t>
      </w:r>
    </w:p>
    <w:p>
      <w:pPr>
        <w:pStyle w:val="Heading2"/>
      </w:pPr>
      <w:r>
        <w:t>2  Build the stamp handling stage</w:t>
      </w:r>
    </w:p>
    <w:p>
      <w:r>
        <w:t>Construct controlled stamp overlays and their masks, then evaluate predicted interference maps. Select a feasible restoration comparison if resources allow, preserving the raw images and paired clean targets for inspection.</w:t>
      </w:r>
    </w:p>
    <w:p>
      <w:pPr>
        <w:pStyle w:val="Heading2"/>
      </w:pPr>
      <w:r>
        <w:t>3  Test regional comparison and visibility weighting</w:t>
      </w:r>
    </w:p>
    <w:p>
      <w:r>
        <w:t>Establish ordinary regional averaging, then change the fusion rule while retaining the same regional verifier. Investigate where weighting improves decisions, where it hides forgery evidence and how little visible handwriting the model can use reliably.</w:t>
      </w:r>
    </w:p>
    <w:p>
      <w:pPr>
        <w:pStyle w:val="Heading2"/>
      </w:pPr>
      <w:r>
        <w:t>4  Compare justified increases in complexity</w:t>
      </w:r>
    </w:p>
    <w:p>
      <w:r>
        <w:t>Evaluate selected feature extractors and training strategies using matched data and a stated tuning budget. Retain additions that improve the error–speed tradeoff or address a clear failure; reduce optional experiments if data or compute are limiting.</w:t>
      </w:r>
    </w:p>
    <w:p>
      <w:pPr>
        <w:pStyle w:val="Heading2"/>
      </w:pPr>
      <w:r>
        <w:t>5  Freeze the system and evaluate transfer</w:t>
      </w:r>
    </w:p>
    <w:p>
      <w:r>
        <w:t>Select thresholds and review rules using validation data, then freeze the pipeline. Run the final public test, the planned reviewer comparison and any authorized real-document pilot. Keep evaluation cases separate from further model tuning.</w:t>
      </w:r>
    </w:p>
    <w:p>
      <w:pPr>
        <w:pStyle w:val="Heading2"/>
      </w:pPr>
      <w:r>
        <w:t>6  Analyse results and recommend a practical solution</w:t>
      </w:r>
    </w:p>
    <w:p>
      <w:r>
        <w:t>Document failure cases, uncertainty and resource requirements. Deliver an evaluated prototype and reproducible experiment definitions, together with a recommendation for the real document workflow and a clear account of when human review remains necessary.</w:t>
      </w:r>
    </w:p>
    <w:p>
      <w:pPr>
        <w:pStyle w:val="Heading1"/>
      </w:pPr>
      <w:r>
        <w:t>Points for supervisor discussion</w:t>
      </w:r>
    </w:p>
    <w:p>
      <w:r>
        <w:t>Confirm the central question, the dataset and permission requirements, the minimum forgery evaluation and reviewer-study feasibility. An architecture-centred or training-centred main study remains an alternative if those constraints make it more useful. The eventual architecture will be chosen from evidence; the proposal does not assume that the most complex candidate will perform best.</w:t>
      </w:r>
    </w:p>
    <w:p>
      <w:pPr>
        <w:pStyle w:val="Heading1"/>
        <w:pageBreakBefore/>
      </w:pPr>
      <w:r>
        <w:t>References</w:t>
      </w:r>
    </w:p>
    <w:p>
      <w:pPr>
        <w:spacing w:after="200"/>
      </w:pPr>
      <w:r>
        <w:t>The nine reviewed papers retain their reading IDs below. The two dataset access pages are listed separately after the papers.</w:t>
      </w:r>
    </w:p>
    <w:p>
      <w:pPr>
        <w:pStyle w:val="Heading2"/>
      </w:pPr>
      <w:r>
        <w:t>Reviewed papers</w:t>
      </w:r>
    </w:p>
    <w:p>
      <w:bookmarkStart w:id="1" w:name="ref1"/>
      <w:pPr>
        <w:keepNext/>
        <w:spacing w:after="40" w:line="257" w:lineRule="auto"/>
      </w:pPr>
      <w:r>
        <w:rPr>
          <w:b/>
          <w:color w:val="245D86"/>
        </w:rPr>
        <w:t xml:space="preserve">P1  [1]  </w:t>
      </w:r>
      <w:r>
        <w:rPr>
          <w:sz w:val="21"/>
        </w:rPr>
        <w:t>Engin, D., Kantarci, A., Arslan, S. and Ekenel, H. K. (2020). Offline Signature Verification on Real-World Documents. IEEE/CVF CVPR Workshops.</w:t>
      </w:r>
      <w:bookmarkEnd w:id="1"/>
    </w:p>
    <w:p>
      <w:pPr>
        <w:spacing w:after="180" w:line="240" w:lineRule="auto"/>
      </w:pPr>
      <w:hyperlink r:id="rId11" w:history="1">
        <w:r>
          <w:rPr>
            <w:color w:val="245D86"/>
            <w:u w:val="single"/>
            <w:sz w:val="20"/>
          </w:rPr>
          <w:t>https://doi.org/10.1109/CVPRW50498.2020.00412</w:t>
        </w:r>
      </w:hyperlink>
    </w:p>
    <w:p>
      <w:bookmarkStart w:id="2" w:name="ref2"/>
      <w:pPr>
        <w:keepNext/>
        <w:spacing w:after="40" w:line="257" w:lineRule="auto"/>
      </w:pPr>
      <w:r>
        <w:rPr>
          <w:b/>
          <w:color w:val="245D86"/>
        </w:rPr>
        <w:t xml:space="preserve">F0  [2]  </w:t>
      </w:r>
      <w:r>
        <w:rPr>
          <w:sz w:val="21"/>
        </w:rPr>
        <w:t>Hafemann, L. G., Sabourin, R. and Oliveira, L. S. (2017). Learning features for offline handwritten signature verification using deep convolutional neural networks. Pattern Recognition.</w:t>
      </w:r>
      <w:bookmarkEnd w:id="2"/>
    </w:p>
    <w:p>
      <w:pPr>
        <w:spacing w:after="180" w:line="240" w:lineRule="auto"/>
      </w:pPr>
      <w:hyperlink r:id="rId12" w:history="1">
        <w:r>
          <w:rPr>
            <w:color w:val="245D86"/>
            <w:u w:val="single"/>
            <w:sz w:val="20"/>
          </w:rPr>
          <w:t>https://doi.org/10.1016/j.patcog.2017.05.012</w:t>
        </w:r>
      </w:hyperlink>
    </w:p>
    <w:p>
      <w:bookmarkStart w:id="3" w:name="ref3"/>
      <w:pPr>
        <w:keepNext/>
        <w:spacing w:after="40" w:line="257" w:lineRule="auto"/>
      </w:pPr>
      <w:r>
        <w:rPr>
          <w:b/>
          <w:color w:val="245D86"/>
        </w:rPr>
        <w:t xml:space="preserve">P5  [3]  </w:t>
      </w:r>
      <w:r>
        <w:rPr>
          <w:sz w:val="21"/>
        </w:rPr>
        <w:t>Xiao, W. and Wu, H. (2025). Learning features for offline handwritten signature verification using spatial transformer network. Scientific Reports.</w:t>
      </w:r>
      <w:bookmarkEnd w:id="3"/>
    </w:p>
    <w:p>
      <w:pPr>
        <w:spacing w:after="180" w:line="240" w:lineRule="auto"/>
      </w:pPr>
      <w:hyperlink r:id="rId13" w:history="1">
        <w:r>
          <w:rPr>
            <w:color w:val="245D86"/>
            <w:u w:val="single"/>
            <w:sz w:val="20"/>
          </w:rPr>
          <w:t>https://doi.org/10.1038/s41598-025-92704-3</w:t>
        </w:r>
      </w:hyperlink>
    </w:p>
    <w:p>
      <w:bookmarkStart w:id="4" w:name="ref4"/>
      <w:pPr>
        <w:keepNext/>
        <w:spacing w:after="40" w:line="257" w:lineRule="auto"/>
      </w:pPr>
      <w:r>
        <w:rPr>
          <w:b/>
          <w:color w:val="245D86"/>
        </w:rPr>
        <w:t xml:space="preserve">P2  [4]  </w:t>
      </w:r>
      <w:r>
        <w:rPr>
          <w:sz w:val="21"/>
        </w:rPr>
        <w:t>Zheng, L., Wu, D., Xu, S. and Zheng, Y. (2025). HTCSigNet: A Hybrid Transformer and Convolution Signature Network for offline signature verification. Pattern Recognition.</w:t>
      </w:r>
      <w:bookmarkEnd w:id="4"/>
    </w:p>
    <w:p>
      <w:pPr>
        <w:spacing w:after="180" w:line="240" w:lineRule="auto"/>
      </w:pPr>
      <w:hyperlink r:id="rId14" w:history="1">
        <w:r>
          <w:rPr>
            <w:color w:val="245D86"/>
            <w:u w:val="single"/>
            <w:sz w:val="20"/>
          </w:rPr>
          <w:t>https://doi.org/10.1016/j.patcog.2024.111146</w:t>
        </w:r>
      </w:hyperlink>
    </w:p>
    <w:p>
      <w:bookmarkStart w:id="5" w:name="ref5"/>
      <w:pPr>
        <w:keepNext/>
        <w:spacing w:after="40" w:line="257" w:lineRule="auto"/>
      </w:pPr>
      <w:r>
        <w:rPr>
          <w:b/>
          <w:color w:val="245D86"/>
        </w:rPr>
        <w:t xml:space="preserve">P3  [5]  </w:t>
      </w:r>
      <w:r>
        <w:rPr>
          <w:sz w:val="21"/>
        </w:rPr>
        <w:t>Lee, S., Lee, N., Baek, J., Min, H., Choi, S. and Hwang, S. (2026). Stamp removal from real documents: A diffusion-based approach with EA-RMSE evaluation. Array.</w:t>
      </w:r>
      <w:bookmarkEnd w:id="5"/>
    </w:p>
    <w:p>
      <w:pPr>
        <w:spacing w:after="180" w:line="240" w:lineRule="auto"/>
      </w:pPr>
      <w:hyperlink r:id="rId15" w:history="1">
        <w:r>
          <w:rPr>
            <w:color w:val="245D86"/>
            <w:u w:val="single"/>
            <w:sz w:val="20"/>
          </w:rPr>
          <w:t>https://doi.org/10.1016/j.array.2026.100855</w:t>
        </w:r>
      </w:hyperlink>
    </w:p>
    <w:p>
      <w:bookmarkStart w:id="6" w:name="ref6"/>
      <w:pPr>
        <w:keepNext/>
        <w:spacing w:after="40" w:line="257" w:lineRule="auto"/>
      </w:pPr>
      <w:r>
        <w:rPr>
          <w:b/>
          <w:color w:val="245D86"/>
        </w:rPr>
        <w:t xml:space="preserve">P4  [6]  </w:t>
      </w:r>
      <w:r>
        <w:rPr>
          <w:sz w:val="21"/>
        </w:rPr>
        <w:t>Cui, G., Yang, C. and Guo, J. (2024). Generative adversarial networks for rubber stamp extraction and removal. Digital Signal Processing.</w:t>
      </w:r>
      <w:bookmarkEnd w:id="6"/>
    </w:p>
    <w:p>
      <w:pPr>
        <w:spacing w:after="180" w:line="240" w:lineRule="auto"/>
      </w:pPr>
      <w:hyperlink r:id="rId16" w:history="1">
        <w:r>
          <w:rPr>
            <w:color w:val="245D86"/>
            <w:u w:val="single"/>
            <w:sz w:val="20"/>
          </w:rPr>
          <w:t>https://doi.org/10.1016/j.dsp.2023.104358</w:t>
        </w:r>
      </w:hyperlink>
    </w:p>
    <w:p>
      <w:bookmarkStart w:id="7" w:name="ref7"/>
      <w:pPr>
        <w:keepNext/>
        <w:spacing w:after="40" w:line="257" w:lineRule="auto"/>
      </w:pPr>
      <w:r>
        <w:rPr>
          <w:b/>
          <w:color w:val="245D86"/>
        </w:rPr>
        <w:t xml:space="preserve">P6  [7]  </w:t>
      </w:r>
      <w:r>
        <w:rPr>
          <w:sz w:val="21"/>
        </w:rPr>
        <w:t>Liu, L., Huang, L., Yin, F. and Chen, Y. (2021). Offline signature verification using a region based deep metric learning network. Pattern Recognition.</w:t>
      </w:r>
      <w:bookmarkEnd w:id="7"/>
    </w:p>
    <w:p>
      <w:pPr>
        <w:spacing w:after="180" w:line="240" w:lineRule="auto"/>
      </w:pPr>
      <w:hyperlink r:id="rId17" w:history="1">
        <w:r>
          <w:rPr>
            <w:color w:val="245D86"/>
            <w:u w:val="single"/>
            <w:sz w:val="20"/>
          </w:rPr>
          <w:t>https://doi.org/10.1016/j.patcog.2021.108009</w:t>
        </w:r>
      </w:hyperlink>
    </w:p>
    <w:p>
      <w:bookmarkStart w:id="8" w:name="ref8"/>
      <w:pPr>
        <w:keepNext/>
        <w:spacing w:after="40" w:line="257" w:lineRule="auto"/>
      </w:pPr>
      <w:r>
        <w:rPr>
          <w:b/>
          <w:color w:val="245D86"/>
        </w:rPr>
        <w:t xml:space="preserve">P7  [8]  </w:t>
      </w:r>
      <w:r>
        <w:rPr>
          <w:sz w:val="21"/>
        </w:rPr>
        <w:t>Giazitzis, A. and Zois, E. N. (2025). Metric meta-learning and intrinsic Riemannian embedding for writer independent offline signature verification. Expert Systems with Applications.</w:t>
      </w:r>
      <w:bookmarkEnd w:id="8"/>
    </w:p>
    <w:p>
      <w:pPr>
        <w:spacing w:after="180" w:line="240" w:lineRule="auto"/>
      </w:pPr>
      <w:hyperlink r:id="rId18" w:history="1">
        <w:r>
          <w:rPr>
            <w:color w:val="245D86"/>
            <w:u w:val="single"/>
            <w:sz w:val="20"/>
          </w:rPr>
          <w:t>https://doi.org/10.1016/j.eswa.2024.125470</w:t>
        </w:r>
      </w:hyperlink>
    </w:p>
    <w:p>
      <w:bookmarkStart w:id="9" w:name="ref9"/>
      <w:pPr>
        <w:keepNext/>
        <w:spacing w:after="40" w:line="257" w:lineRule="auto"/>
      </w:pPr>
      <w:r>
        <w:rPr>
          <w:b/>
          <w:color w:val="245D86"/>
        </w:rPr>
        <w:t xml:space="preserve">P8  [9]  </w:t>
      </w:r>
      <w:r>
        <w:rPr>
          <w:sz w:val="21"/>
        </w:rPr>
        <w:t>Zheng, L., Zhao, X., Xu, S., Ren, Y. and Zheng, Y. (2025). Learning discriminative representations by a Canonical Correlation Analysis-based Siamese Network for offline signature verification. Engineering Applications of Artificial Intelligence.</w:t>
      </w:r>
      <w:bookmarkEnd w:id="9"/>
    </w:p>
    <w:p>
      <w:pPr>
        <w:spacing w:after="180" w:line="240" w:lineRule="auto"/>
      </w:pPr>
      <w:hyperlink r:id="rId19" w:history="1">
        <w:r>
          <w:rPr>
            <w:color w:val="245D86"/>
            <w:u w:val="single"/>
            <w:sz w:val="20"/>
          </w:rPr>
          <w:t>https://doi.org/10.1016/j.engappai.2024.109640</w:t>
        </w:r>
      </w:hyperlink>
    </w:p>
    <w:p>
      <w:pPr>
        <w:pStyle w:val="Heading2"/>
      </w:pPr>
      <w:r>
        <w:t>Dataset access sources</w:t>
      </w:r>
    </w:p>
    <w:p>
      <w:bookmarkStart w:id="10" w:name="ref10"/>
      <w:pPr>
        <w:keepNext/>
        <w:spacing w:after="40" w:line="257" w:lineRule="auto"/>
      </w:pPr>
      <w:r>
        <w:rPr>
          <w:b/>
          <w:color w:val="245D86"/>
        </w:rPr>
        <w:t xml:space="preserve">[10]  </w:t>
      </w:r>
      <w:r>
        <w:rPr>
          <w:sz w:val="21"/>
        </w:rPr>
        <w:t>University at Buffalo CEDAR. Published signature dataset and publications. Access page consulted 29 October 2026.</w:t>
      </w:r>
      <w:bookmarkEnd w:id="10"/>
    </w:p>
    <w:p>
      <w:pPr>
        <w:spacing w:after="180" w:line="240" w:lineRule="auto"/>
      </w:pPr>
      <w:hyperlink r:id="rId20" w:history="1">
        <w:r>
          <w:rPr>
            <w:color w:val="245D86"/>
            <w:u w:val="single"/>
            <w:sz w:val="20"/>
          </w:rPr>
          <w:t>https://cedar.buffalo.edu/NIJ/publications.html</w:t>
        </w:r>
      </w:hyperlink>
    </w:p>
    <w:p>
      <w:bookmarkStart w:id="11" w:name="ref11"/>
      <w:pPr>
        <w:keepNext/>
        <w:spacing w:after="40" w:line="257" w:lineRule="auto"/>
      </w:pPr>
      <w:r>
        <w:rPr>
          <w:b/>
          <w:color w:val="245D86"/>
        </w:rPr>
        <w:t xml:space="preserve">[11]  </w:t>
      </w:r>
      <w:r>
        <w:rPr>
          <w:sz w:val="21"/>
        </w:rPr>
        <w:t>Universidad de Las Palmas de Gran Canaria GPDS. Toolbox and Databases. Access conditions consulted 29 October 2026.</w:t>
      </w:r>
      <w:bookmarkEnd w:id="11"/>
    </w:p>
    <w:p>
      <w:pPr>
        <w:spacing w:after="180" w:line="240" w:lineRule="auto"/>
      </w:pPr>
      <w:hyperlink r:id="rId21" w:history="1">
        <w:r>
          <w:rPr>
            <w:color w:val="245D86"/>
            <w:u w:val="single"/>
            <w:sz w:val="20"/>
          </w:rPr>
          <w:t>https://gpds.ulpgc.es/downloadnew/download.htm</w:t>
        </w:r>
      </w:hyperlink>
    </w:p>
    <w:sectPr w:rsidR="00FC693F" w:rsidRPr="0006063C" w:rsidSect="00034616">
      <w:footerReference w:type="default" r:id="rId22"/>
      <w:pgSz w:w="11906" w:h="16838"/>
      <w:pgMar w:top="1077" w:right="1219" w:bottom="1077" w:left="1219" w:header="720" w:footer="48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18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200"/>
      <w:jc w:val="center"/>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before="180"/>
      <w:contextualSpacing/>
      <w:jc w:val="center"/>
    </w:pPr>
    <w:rPr>
      <w:rFonts w:asciiTheme="majorHAnsi" w:eastAsiaTheme="majorEastAsia" w:hAnsiTheme="majorHAnsi" w:cstheme="majorBidi" w:ascii="Arial" w:hAnsi="Arial"/>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9" w:lineRule="auto" w:after="200"/>
    </w:pPr>
    <w:rPr>
      <w:rFonts w:ascii="Arial" w:hAnsi="Arial"/>
      <w:b w:val="0"/>
      <w:bCs/>
      <w:i w:val="0"/>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doi.org/10.1109/CVPRW50498.2020.00412" TargetMode="External"/><Relationship Id="rId12" Type="http://schemas.openxmlformats.org/officeDocument/2006/relationships/hyperlink" Target="https://doi.org/10.1016/j.patcog.2017.05.012" TargetMode="External"/><Relationship Id="rId13" Type="http://schemas.openxmlformats.org/officeDocument/2006/relationships/hyperlink" Target="https://doi.org/10.1038/s41598-025-92704-3" TargetMode="External"/><Relationship Id="rId14" Type="http://schemas.openxmlformats.org/officeDocument/2006/relationships/hyperlink" Target="https://doi.org/10.1016/j.patcog.2024.111146" TargetMode="External"/><Relationship Id="rId15" Type="http://schemas.openxmlformats.org/officeDocument/2006/relationships/hyperlink" Target="https://doi.org/10.1016/j.array.2026.100855" TargetMode="External"/><Relationship Id="rId16" Type="http://schemas.openxmlformats.org/officeDocument/2006/relationships/hyperlink" Target="https://doi.org/10.1016/j.dsp.2023.104358" TargetMode="External"/><Relationship Id="rId17" Type="http://schemas.openxmlformats.org/officeDocument/2006/relationships/hyperlink" Target="https://doi.org/10.1016/j.patcog.2021.108009" TargetMode="External"/><Relationship Id="rId18" Type="http://schemas.openxmlformats.org/officeDocument/2006/relationships/hyperlink" Target="https://doi.org/10.1016/j.eswa.2024.125470" TargetMode="External"/><Relationship Id="rId19" Type="http://schemas.openxmlformats.org/officeDocument/2006/relationships/hyperlink" Target="https://doi.org/10.1016/j.engappai.2024.109640" TargetMode="External"/><Relationship Id="rId20" Type="http://schemas.openxmlformats.org/officeDocument/2006/relationships/hyperlink" Target="https://cedar.buffalo.edu/NIJ/publications.html" TargetMode="External"/><Relationship Id="rId21" Type="http://schemas.openxmlformats.org/officeDocument/2006/relationships/hyperlink" Target="https://gpds.ulpgc.es/downloadnew/download.htm"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Verification of Handwritten Signatures Obscured by Stamps</dc:title>
  <dc:subject>Research proposal for supervisor discussion</dc:subject>
  <dc:creator>Matej Gaberc</dc:creator>
  <cp:keywords>offline signature verification, stamp occlusion, regional comparison</cp:keywords>
  <dc:description>generated by python-docx</dc:description>
  <cp:lastModifiedBy/>
  <cp:revision>1</cp:revision>
  <dcterms:created xsi:type="dcterms:W3CDTF">2013-12-23T23:15:00Z</dcterms:created>
  <dcterms:modified xsi:type="dcterms:W3CDTF">2013-12-23T23:15:00Z</dcterms:modified>
  <cp:category/>
</cp:coreProperties>
</file>