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spacing w:after="240"/>
        <w:jc w:val="center"/>
      </w:pPr>
      <w:r>
        <w:rPr>
          <w:rFonts w:ascii="Arial" w:hAnsi="Arial"/>
          <w:b w:val="1"/>
          <w:bCs w:val="1"/>
          <w:sz w:val="36"/>
          <w:szCs w:val="36"/>
          <w:rtl w:val="0"/>
          <w:lang w:val="en-US"/>
        </w:rPr>
        <w:t>Two-Dimensional SnSe Photonic Memristors: A Graphene-Templated Ionic Crystal Architecture for Post-Von Neumann Computing</w:t>
      </w:r>
    </w:p>
    <w:p>
      <w:pPr>
        <w:spacing w:after="80"/>
        <w:jc w:val="center"/>
      </w:pPr>
      <w:r>
        <w:rPr>
          <w:rFonts w:ascii="Arial" w:hAnsi="Arial"/>
          <w:b w:val="1"/>
          <w:bCs w:val="1"/>
          <w:sz w:val="24"/>
          <w:szCs w:val="24"/>
          <w:rtl w:val="0"/>
          <w:lang w:val="de-DE"/>
        </w:rPr>
        <w:t>Gabriel Reiser</w:t>
      </w:r>
    </w:p>
    <w:p>
      <w:pPr>
        <w:spacing w:after="80"/>
        <w:jc w:val="center"/>
      </w:pPr>
      <w:r>
        <w:rPr>
          <w:rFonts w:ascii="Arial" w:hAnsi="Arial"/>
          <w:i w:val="1"/>
          <w:iCs w:val="1"/>
          <w:sz w:val="24"/>
          <w:szCs w:val="24"/>
          <w:rtl w:val="0"/>
          <w:lang w:val="en-US"/>
        </w:rPr>
        <w:t>Independent Researcher</w:t>
      </w:r>
    </w:p>
    <w:p>
      <w:pPr>
        <w:spacing w:after="80"/>
        <w:jc w:val="center"/>
      </w:pPr>
      <w:r>
        <w:rPr>
          <w:rFonts w:ascii="Arial" w:hAnsi="Arial"/>
          <w:i w:val="1"/>
          <w:iCs w:val="1"/>
          <w:sz w:val="24"/>
          <w:szCs w:val="24"/>
          <w:rtl w:val="0"/>
          <w:lang w:val="en-US"/>
        </w:rPr>
        <w:t>Lynchburg, Virginia, United States</w:t>
      </w:r>
    </w:p>
    <w:p>
      <w:pPr>
        <w:spacing w:after="120"/>
      </w:pPr>
      <w:r>
        <w:rPr>
          <w:rFonts w:ascii="Arial" w:hAnsi="Arial"/>
          <w:b w:val="1"/>
          <w:bCs w:val="1"/>
          <w:sz w:val="26"/>
          <w:szCs w:val="26"/>
          <w:rtl w:val="0"/>
          <w:lang w:val="de-DE"/>
        </w:rPr>
        <w:t>Abstract</w:t>
      </w:r>
    </w:p>
    <w:p>
      <w:pPr>
        <w:spacing w:after="160"/>
        <w:jc w:val="both"/>
      </w:pPr>
      <w:r>
        <w:rPr>
          <w:rFonts w:ascii="Arial" w:hAnsi="Arial"/>
          <w:i w:val="1"/>
          <w:iCs w:val="1"/>
          <w:rtl w:val="0"/>
          <w:lang w:val="de-DE"/>
        </w:rPr>
        <w:t xml:space="preserve">The von Neumann bottleneck </w:t>
      </w:r>
      <w:r>
        <w:rPr>
          <w:rFonts w:ascii="Arial" w:hAnsi="Arial" w:hint="default"/>
          <w:i w:val="1"/>
          <w:iCs w:val="1"/>
          <w:rtl w:val="0"/>
          <w:lang w:val="en-US"/>
        </w:rPr>
        <w:t xml:space="preserve">— </w:t>
      </w:r>
      <w:r>
        <w:rPr>
          <w:rFonts w:ascii="Arial" w:hAnsi="Arial"/>
          <w:i w:val="1"/>
          <w:iCs w:val="1"/>
          <w:rtl w:val="0"/>
          <w:lang w:val="en-US"/>
        </w:rPr>
        <w:t xml:space="preserve">the fundamental architectural separation between memory and compute </w:t>
      </w:r>
      <w:r>
        <w:rPr>
          <w:rFonts w:ascii="Arial" w:hAnsi="Arial" w:hint="default"/>
          <w:i w:val="1"/>
          <w:iCs w:val="1"/>
          <w:rtl w:val="0"/>
          <w:lang w:val="en-US"/>
        </w:rPr>
        <w:t xml:space="preserve">— </w:t>
      </w:r>
      <w:r>
        <w:rPr>
          <w:rFonts w:ascii="Arial" w:hAnsi="Arial"/>
          <w:i w:val="1"/>
          <w:iCs w:val="1"/>
          <w:rtl w:val="0"/>
          <w:lang w:val="en-US"/>
        </w:rPr>
        <w:t xml:space="preserve">represents the primary physical constraint on computational scaling in the post-Moore era. Silicon-copper electronic architectures are approaching thermodynamic and quantum mechanical limits that no incremental engineering refinement can overcome. We propose a paradigm shift: the photonic memristor, realized through van der Waals exfoliation and spray deposition of two-dimensional (2D) tin(II) selenide (SnSe) crystalline sheets on graphene substrates. SnSe is identified as the primary candidate material on the basis of three non-toxic invariant properties: room-temperature ferroelectric switching without thermal cycling, a measured birefringence of </w:t>
      </w:r>
      <w:r>
        <w:rPr>
          <w:rFonts w:ascii="Arial" w:hAnsi="Arial" w:hint="default"/>
          <w:i w:val="1"/>
          <w:iCs w:val="1"/>
          <w:rtl w:val="0"/>
        </w:rPr>
        <w:t>Δ</w:t>
      </w:r>
      <w:r>
        <w:rPr>
          <w:rFonts w:ascii="Arial" w:hAnsi="Arial"/>
          <w:i w:val="1"/>
          <w:iCs w:val="1"/>
          <w:rtl w:val="0"/>
          <w:lang w:val="en-US"/>
        </w:rPr>
        <w:t xml:space="preserve">n = 0.4 at telecom wavelengths (1262-1586nm), and a measured extinction ratio of 23 dB enabling practical analog storage of approximately 4.3 bits per cell </w:t>
      </w:r>
      <w:r>
        <w:rPr>
          <w:rFonts w:ascii="Arial" w:hAnsi="Arial" w:hint="default"/>
          <w:i w:val="1"/>
          <w:iCs w:val="1"/>
          <w:rtl w:val="0"/>
          <w:lang w:val="en-US"/>
        </w:rPr>
        <w:t xml:space="preserve">— </w:t>
      </w:r>
      <w:r>
        <w:rPr>
          <w:rFonts w:ascii="Arial" w:hAnsi="Arial"/>
          <w:i w:val="1"/>
          <w:iCs w:val="1"/>
          <w:rtl w:val="0"/>
          <w:lang w:val="en-US"/>
        </w:rPr>
        <w:t xml:space="preserve">derived conservatively using a 10:1 noise derate factor from theoretical maximum </w:t>
      </w:r>
      <w:r>
        <w:rPr>
          <w:rFonts w:ascii="Arial" w:hAnsi="Arial" w:hint="default"/>
          <w:i w:val="1"/>
          <w:iCs w:val="1"/>
          <w:rtl w:val="0"/>
          <w:lang w:val="en-US"/>
        </w:rPr>
        <w:t xml:space="preserve">— </w:t>
      </w:r>
      <w:r>
        <w:rPr>
          <w:rFonts w:ascii="Arial" w:hAnsi="Arial"/>
          <w:i w:val="1"/>
          <w:iCs w:val="1"/>
          <w:rtl w:val="0"/>
          <w:lang w:val="en-US"/>
        </w:rPr>
        <w:t>exceeding the 3-bit ceiling of triple-level cell NAND flash. A single photonic memristor layer achieves a practical areal storage density of 8.22 Gbits/cm</w:t>
      </w:r>
      <w:r>
        <w:rPr>
          <w:rFonts w:ascii="Arial" w:hAnsi="Arial" w:hint="default"/>
          <w:i w:val="1"/>
          <w:iCs w:val="1"/>
          <w:rtl w:val="0"/>
        </w:rPr>
        <w:t>²</w:t>
      </w:r>
      <w:r>
        <w:rPr>
          <w:rFonts w:ascii="Arial" w:hAnsi="Arial"/>
          <w:i w:val="1"/>
          <w:iCs w:val="1"/>
          <w:rtl w:val="0"/>
          <w:lang w:val="en-US"/>
        </w:rPr>
        <w:t xml:space="preserve">. Vertical scaling proceeds through a complementary layer pair architecture grounded in experimentally demonstrated sliding ferroelectricity in van der Waals heterostructures </w:t>
      </w:r>
      <w:r>
        <w:rPr>
          <w:rFonts w:ascii="Arial" w:hAnsi="Arial" w:hint="default"/>
          <w:i w:val="1"/>
          <w:iCs w:val="1"/>
          <w:rtl w:val="0"/>
          <w:lang w:val="en-US"/>
        </w:rPr>
        <w:t xml:space="preserve">— </w:t>
      </w:r>
      <w:r>
        <w:rPr>
          <w:rFonts w:ascii="Arial" w:hAnsi="Arial"/>
          <w:i w:val="1"/>
          <w:iCs w:val="1"/>
          <w:rtl w:val="0"/>
          <w:lang w:val="en-US"/>
        </w:rPr>
        <w:t>where forward and inverse ferroelectric orientation layers, related by controlled interlayer twist angle, form naturally self-organized alternating polarization domain networks. Layer count N scales as a system engineering variable; at N = 80 complementary pairs, total density reaches approximately 657 Gbits/cm</w:t>
      </w:r>
      <w:r>
        <w:rPr>
          <w:rFonts w:ascii="Arial" w:hAnsi="Arial" w:hint="default"/>
          <w:i w:val="1"/>
          <w:iCs w:val="1"/>
          <w:rtl w:val="0"/>
          <w:lang w:val="en-US"/>
        </w:rPr>
        <w:t xml:space="preserve">² — </w:t>
      </w:r>
      <w:r>
        <w:rPr>
          <w:rFonts w:ascii="Arial" w:hAnsi="Arial"/>
          <w:i w:val="1"/>
          <w:iCs w:val="1"/>
          <w:rtl w:val="0"/>
          <w:lang w:val="en-US"/>
        </w:rPr>
        <w:t xml:space="preserve">66 times the density of current state-of-the-art 3D NAND flash. We further identify antimony (Sb) as the preferred substitutional dopant for ferroelectric switching symmetrization, superseding bismuth (Bi) used in prior experimental demonstrations, on the basis of matched group 15 valence electron count, superior thermal stability during deposition, lower lattice distortion, and established presence in existing silicon semiconductor fabrication infrastructure. We outline the theoretical basis for the photonic memristor mechanism, propose a graphene-templated fabrication architecture, and identify a manufacturing pathway from current laboratory demonstrations to wafer-scale production. This architecture dissolves the boundary between memory and compute entirely </w:t>
      </w:r>
      <w:r>
        <w:rPr>
          <w:rFonts w:ascii="Arial" w:hAnsi="Arial" w:hint="default"/>
          <w:i w:val="1"/>
          <w:iCs w:val="1"/>
          <w:rtl w:val="0"/>
          <w:lang w:val="en-US"/>
        </w:rPr>
        <w:t xml:space="preserve">— </w:t>
      </w:r>
      <w:r>
        <w:rPr>
          <w:rFonts w:ascii="Arial" w:hAnsi="Arial"/>
          <w:i w:val="1"/>
          <w:iCs w:val="1"/>
          <w:rtl w:val="0"/>
          <w:lang w:val="en-US"/>
        </w:rPr>
        <w:t xml:space="preserve">the photonic state is simultaneously the storage state and the computational state </w:t>
      </w:r>
      <w:r>
        <w:rPr>
          <w:rFonts w:ascii="Arial" w:hAnsi="Arial" w:hint="default"/>
          <w:i w:val="1"/>
          <w:iCs w:val="1"/>
          <w:rtl w:val="0"/>
          <w:lang w:val="en-US"/>
        </w:rPr>
        <w:t xml:space="preserve">— </w:t>
      </w:r>
      <w:r>
        <w:rPr>
          <w:rFonts w:ascii="Arial" w:hAnsi="Arial"/>
          <w:i w:val="1"/>
          <w:iCs w:val="1"/>
          <w:rtl w:val="0"/>
          <w:lang w:val="en-US"/>
        </w:rPr>
        <w:t>representing a foundational departure from all prior computing paradigms.</w:t>
      </w:r>
    </w:p>
    <w:p>
      <w:pPr>
        <w:spacing w:after="160"/>
        <w:jc w:val="both"/>
      </w:pPr>
      <w:r>
        <w:rPr>
          <w:rFonts w:ascii="Arial" w:hAnsi="Arial"/>
          <w:b w:val="1"/>
          <w:bCs w:val="1"/>
          <w:rtl w:val="0"/>
          <w:lang w:val="en-US"/>
        </w:rPr>
        <w:t xml:space="preserve">Keywords: </w:t>
      </w:r>
      <w:r>
        <w:rPr>
          <w:rFonts w:ascii="Arial" w:hAnsi="Arial"/>
          <w:rtl w:val="0"/>
          <w:lang w:val="en-US"/>
        </w:rPr>
        <w:t>photonic memristor, SnSe, tin selenide, antimony dopant, Sn</w:t>
      </w:r>
      <w:r>
        <w:rPr>
          <w:rFonts w:ascii="Arial Unicode MS" w:cs="Arial Unicode MS" w:hAnsi="Arial Unicode MS" w:eastAsia="Arial Unicode MS" w:hint="default"/>
          <w:b w:val="0"/>
          <w:bCs w:val="0"/>
          <w:i w:val="0"/>
          <w:iCs w:val="0"/>
          <w:rtl w:val="0"/>
        </w:rPr>
        <w:t>₁₋</w:t>
      </w:r>
      <w:r>
        <w:rPr>
          <w:rFonts w:ascii="Arial" w:hAnsi="Arial" w:hint="default"/>
          <w:rtl w:val="0"/>
        </w:rPr>
        <w:t>ₓ</w:t>
      </w:r>
      <w:r>
        <w:rPr>
          <w:rFonts w:ascii="Arial" w:hAnsi="Arial"/>
          <w:rtl w:val="0"/>
        </w:rPr>
        <w:t>Sb</w:t>
      </w:r>
      <w:r>
        <w:rPr>
          <w:rFonts w:ascii="Arial" w:hAnsi="Arial" w:hint="default"/>
          <w:rtl w:val="0"/>
        </w:rPr>
        <w:t>ₓ</w:t>
      </w:r>
      <w:r>
        <w:rPr>
          <w:rFonts w:ascii="Arial" w:hAnsi="Arial"/>
          <w:rtl w:val="0"/>
          <w:lang w:val="en-US"/>
        </w:rPr>
        <w:t>Se, ferroelectric switching, graphene substrate, van der Waals epitaxy, photonic computing, non-volatile optical memory, wavelength-division multiplexing, post-silicon computing, neuromorphic photonics, semiconductor manufacturing compatibility</w:t>
      </w:r>
    </w:p>
    <w:p>
      <w:pPr>
        <w:pStyle w:val="Heading1"/>
        <w:spacing w:before="320" w:after="160"/>
      </w:pPr>
      <w:r>
        <w:rPr>
          <w:rtl w:val="0"/>
          <w:lang w:val="fr-FR"/>
        </w:rPr>
        <w:t>1. Introduction</w:t>
      </w:r>
    </w:p>
    <w:p>
      <w:pPr>
        <w:spacing w:after="160"/>
        <w:jc w:val="both"/>
      </w:pPr>
      <w:r>
        <w:rPr>
          <w:b w:val="0"/>
          <w:bCs w:val="0"/>
          <w:outline w:val="0"/>
          <w:color w:val="000000"/>
          <w:sz w:val="24"/>
          <w:szCs w:val="24"/>
          <w:u w:color="000000"/>
          <w:rtl w:val="0"/>
          <w:lang w:val="en-US"/>
          <w14:textFill>
            <w14:solidFill>
              <w14:srgbClr w14:val="000000"/>
            </w14:solidFill>
          </w14:textFill>
        </w:rPr>
        <w:t>The history of computing is the history of a single architectural assumption: that electrons, flowing through copper traces between discrete memory and processing units, are the appropriate medium for information. This assumption, formalized by John von Neumann in 1945, has proven extraordinarily productive. It has also, increasingly, become a cage.</w:t>
      </w:r>
    </w:p>
    <w:p>
      <w:pPr>
        <w:spacing w:after="160"/>
        <w:jc w:val="both"/>
      </w:pPr>
      <w:r>
        <w:rPr>
          <w:b w:val="0"/>
          <w:bCs w:val="0"/>
          <w:outline w:val="0"/>
          <w:color w:val="000000"/>
          <w:sz w:val="24"/>
          <w:szCs w:val="24"/>
          <w:u w:color="000000"/>
          <w:rtl w:val="0"/>
          <w:lang w:val="en-US"/>
          <w14:textFill>
            <w14:solidFill>
              <w14:srgbClr w14:val="000000"/>
            </w14:solidFill>
          </w14:textFill>
        </w:rPr>
        <w:t>The physical limits of silicon-copper computation are not engineering problems awaiting better solutions. They are consequences of fundamental physics. Electron resistive heating in copper traces at nanometer scales approaches thermodynamic limits. Quantum tunneling at sub-3nm transistor geometries renders switching behavior probabilistic rather than deterministic. The memory bus — the copper interconnect between storage and processing — imposes an RC delay ceiling that no architectural innovation can eliminate while the medium remains conductive metal.</w:t>
      </w:r>
    </w:p>
    <w:p>
      <w:pPr>
        <w:spacing w:after="160"/>
        <w:jc w:val="both"/>
      </w:pPr>
      <w:r>
        <w:rPr>
          <w:b w:val="0"/>
          <w:bCs w:val="0"/>
          <w:outline w:val="0"/>
          <w:color w:val="000000"/>
          <w:sz w:val="24"/>
          <w:szCs w:val="24"/>
          <w:u w:color="000000"/>
          <w:rtl w:val="0"/>
          <w:lang w:val="en-US"/>
          <w14:textFill>
            <w14:solidFill>
              <w14:srgbClr w14:val="000000"/>
            </w14:solidFill>
          </w14:textFill>
        </w:rPr>
        <w:t>The response of the semiconductor industry to these limits has been refinement: smaller transistors, more cores, faster clocks, better cooling, higher bandwidth memory interfaces. Each of these represents optimization within a paradigm rather than departure from it. The paradigm itself has not been questioned at the substrate level.</w:t>
      </w:r>
    </w:p>
    <w:p>
      <w:pPr>
        <w:spacing w:after="160"/>
        <w:jc w:val="both"/>
      </w:pPr>
      <w:r>
        <w:rPr>
          <w:b w:val="0"/>
          <w:bCs w:val="0"/>
          <w:outline w:val="0"/>
          <w:color w:val="000000"/>
          <w:sz w:val="24"/>
          <w:szCs w:val="24"/>
          <w:u w:color="000000"/>
          <w:rtl w:val="0"/>
          <w:lang w:val="en-US"/>
          <w14:textFill>
            <w14:solidFill>
              <w14:srgbClr w14:val="000000"/>
            </w14:solidFill>
          </w14:textFill>
        </w:rPr>
        <w:t>Photonic computing has been proposed as an alternative, but the framing has been consistently wrong. The dominant question has been: how can we use light to make our electronic architecture faster? Optical interconnects between chips. Photonic accelerators feeding GPU cores. Light as a faster wire. This framing preserves the fundamental error — the separation of memory and compute, the von Neumann bottleneck — while substituting a faster carrier medium.</w:t>
      </w:r>
    </w:p>
    <w:p>
      <w:pPr>
        <w:spacing w:after="160"/>
        <w:jc w:val="both"/>
      </w:pPr>
      <w:r>
        <w:rPr>
          <w:b w:val="0"/>
          <w:bCs w:val="0"/>
          <w:outline w:val="0"/>
          <w:color w:val="000000"/>
          <w:sz w:val="24"/>
          <w:szCs w:val="24"/>
          <w:u w:color="000000"/>
          <w:rtl w:val="0"/>
          <w:lang w:val="en-US"/>
          <w14:textFill>
            <w14:solidFill>
              <w14:srgbClr w14:val="000000"/>
            </w14:solidFill>
          </w14:textFill>
        </w:rPr>
        <w:t>The correct question is different: what computing architecture would you design if you started from photons and never introduced electrons? The answer is not a faster version of what we have. It is something categorically different.</w:t>
      </w:r>
    </w:p>
    <w:p>
      <w:pPr>
        <w:spacing w:after="160"/>
        <w:jc w:val="both"/>
      </w:pPr>
      <w:r>
        <w:rPr>
          <w:b w:val="0"/>
          <w:bCs w:val="0"/>
          <w:outline w:val="0"/>
          <w:color w:val="000000"/>
          <w:sz w:val="24"/>
          <w:szCs w:val="24"/>
          <w:u w:color="000000"/>
          <w:rtl w:val="0"/>
          <w:lang w:val="en-US"/>
          <w14:textFill>
            <w14:solidFill>
              <w14:srgbClr w14:val="000000"/>
            </w14:solidFill>
          </w14:textFill>
        </w:rPr>
        <w:t>We propose the photonic memristor as the foundational element of this different architecture. A device in which the optical state of a material is simultaneously its memory state and its computational state. No separation between storage and processing. No memory bus. No clock. No binary logic constrained by voltage thresholds. Computation as interference, phase, and polarization — operating at c.</w:t>
      </w:r>
    </w:p>
    <w:p>
      <w:pPr>
        <w:spacing w:after="160"/>
        <w:jc w:val="both"/>
      </w:pPr>
      <w:r>
        <w:rPr>
          <w:b w:val="0"/>
          <w:bCs w:val="0"/>
          <w:outline w:val="0"/>
          <w:color w:val="000000"/>
          <w:sz w:val="24"/>
          <w:szCs w:val="24"/>
          <w:u w:color="000000"/>
          <w:rtl w:val="0"/>
          <w:lang w:val="en-US"/>
          <w14:textFill>
            <w14:solidFill>
              <w14:srgbClr w14:val="000000"/>
            </w14:solidFill>
          </w14:textFill>
        </w:rPr>
        <w:t>The material we identify as uniquely suited to this role is two-dimensional tin(II) selenide (SnSe): a non-toxic ionic crystalline structure that can be fabricated as atomically thin sheets via van der Waals exfoliation or low-temperature physical vapor deposition, exhibits room-temperature ferroelectric optical switching without thermal cycling, and can be grown epitaxially on graphene substrates with precise crystallographic orientation control. SnSe is selected not as one candidate among many but as the non-toxic invariant from which all density and precision calculations in this paper are derived.</w:t>
      </w:r>
    </w:p>
    <w:p>
      <w:pPr>
        <w:pStyle w:val="Heading1"/>
        <w:spacing w:before="320" w:after="160"/>
      </w:pPr>
      <w:r>
        <w:rPr>
          <w:rtl w:val="0"/>
          <w:lang w:val="en-US"/>
        </w:rPr>
        <w:t>2. The Photonic Memristor: Concept and Mechanism</w:t>
      </w:r>
    </w:p>
    <w:p>
      <w:pPr>
        <w:spacing w:after="160"/>
        <w:jc w:val="both"/>
      </w:pPr>
      <w:r>
        <w:rPr>
          <w:b w:val="0"/>
          <w:bCs w:val="0"/>
          <w:outline w:val="0"/>
          <w:color w:val="000000"/>
          <w:sz w:val="24"/>
          <w:szCs w:val="24"/>
          <w:u w:color="000000"/>
          <w:rtl w:val="0"/>
          <w:lang w:val="en-US"/>
          <w14:textFill>
            <w14:solidFill>
              <w14:srgbClr w14:val="000000"/>
            </w14:solidFill>
          </w14:textFill>
        </w:rPr>
        <w:t>The memristor — memory resistor — was theorized by Leon Chua in 1971 as the fourth fundamental passive circuit element, relating charge and flux linkage. Its physical realization in 2008 by Williams et al. at HP Labs demonstrated resistive switching in titanium dioxide thin films. The electronic memristor has since been extensively explored for neuromorphic computing applications, offering analog multilevel resistance states that mimic synaptic weight storage in biological neural networks.</w:t>
      </w:r>
    </w:p>
    <w:p>
      <w:pPr>
        <w:spacing w:after="160"/>
        <w:jc w:val="both"/>
      </w:pPr>
      <w:r>
        <w:rPr>
          <w:b w:val="0"/>
          <w:bCs w:val="0"/>
          <w:outline w:val="0"/>
          <w:color w:val="000000"/>
          <w:sz w:val="24"/>
          <w:szCs w:val="24"/>
          <w:u w:color="000000"/>
          <w:rtl w:val="0"/>
          <w:lang w:val="en-US"/>
          <w14:textFill>
            <w14:solidFill>
              <w14:srgbClr w14:val="000000"/>
            </w14:solidFill>
          </w14:textFill>
        </w:rPr>
        <w:t>The photonic memristor extends this concept to the optical domain. Rather than storing information as a resistance state readable by electrical measurement, the photonic memristor stores information as an optical state — specifically, a crystallographic phase configuration that produces a measurable change in refractive index, birefringence, or polarization rotation — readable by optical interrogation.</w:t>
      </w:r>
    </w:p>
    <w:p>
      <w:pPr>
        <w:spacing w:after="160"/>
        <w:jc w:val="both"/>
      </w:pPr>
      <w:r>
        <w:rPr>
          <w:b w:val="0"/>
          <w:bCs w:val="0"/>
          <w:outline w:val="0"/>
          <w:color w:val="000000"/>
          <w:sz w:val="24"/>
          <w:szCs w:val="24"/>
          <w:u w:color="000000"/>
          <w:rtl w:val="0"/>
          <w:lang w:val="en-US"/>
          <w14:textFill>
            <w14:solidFill>
              <w14:srgbClr w14:val="000000"/>
            </w14:solidFill>
          </w14:textFill>
        </w:rPr>
        <w:t>The critical requirement is non-volatility: the optical state must persist without active power consumption. This distinguishes the photonic memristor from optical bistability devices, which require continuous optical pumping to maintain state, and from photonic latches, which are volatile and lose state without power.</w:t>
      </w:r>
    </w:p>
    <w:p>
      <w:pPr>
        <w:spacing w:after="160"/>
        <w:jc w:val="both"/>
      </w:pPr>
      <w:r>
        <w:rPr>
          <w:b w:val="0"/>
          <w:bCs w:val="0"/>
          <w:outline w:val="0"/>
          <w:color w:val="000000"/>
          <w:sz w:val="24"/>
          <w:szCs w:val="24"/>
          <w:u w:color="000000"/>
          <w:rtl w:val="0"/>
          <w:lang w:val="en-US"/>
          <w14:textFill>
            <w14:solidFill>
              <w14:srgbClr w14:val="000000"/>
            </w14:solidFill>
          </w14:textFill>
        </w:rPr>
        <w:t>Current photonic memory research has converged on phase-change materials (PCMs) — primarily Ge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Te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₅</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(GST) and its variants — as the switching medium. These materials exhibit large optical contrast between amorphous and crystalline phases. However, PCM switching relies on thermal melt-quench cycles: the material must be locally heated above its melting point to amorphize, or annealed above its crystallization temperature to crystallize. This thermal mechanism imposes fundamental constraints on switching energy (typically tens of picojoules), switching speed (limited by thermal dynamics), and endurance (structural degradation over repeated thermal cycling). Furthermore, GST contains tellurium — a critical and geopolitically concentrated material — and its switching mechanism is inherently thermal, making it unsuitable as a foundation for a genuinely photonic architecture.</w:t>
      </w:r>
    </w:p>
    <w:p>
      <w:pPr>
        <w:spacing w:after="160"/>
        <w:jc w:val="both"/>
      </w:pPr>
      <w:r>
        <w:rPr>
          <w:b w:val="0"/>
          <w:bCs w:val="0"/>
          <w:outline w:val="0"/>
          <w:color w:val="000000"/>
          <w:sz w:val="24"/>
          <w:szCs w:val="24"/>
          <w:u w:color="000000"/>
          <w:rtl w:val="0"/>
          <w:lang w:val="en-US"/>
          <w14:textFill>
            <w14:solidFill>
              <w14:srgbClr w14:val="000000"/>
            </w14:solidFill>
          </w14:textFill>
        </w:rPr>
        <w:t>The photonic memristor we propose operates by a fundamentally different mechanism: ferroelectric ionic reorientation in two-dimensional SnSe crystals. No thermal cycling. No melt-quench. No rare earth or toxic elements. The crystallographic direction of the ionic lattice reorients under optical or electrical stimulus, producing a change in the material's anisotropic optical properties — specifically its birefringence — that encodes the memory state in the polarization state of transmitted light. Because the switching mechanism is ferroelectric rather than thermal, energy dissipation is orders of magnitude lower and switching speed is limited by domain wall dynamics rather than thermal diffusion.</w:t>
      </w:r>
    </w:p>
    <w:p>
      <w:pPr>
        <w:pStyle w:val="Heading1"/>
        <w:spacing w:before="320" w:after="160"/>
      </w:pPr>
      <w:r>
        <w:rPr>
          <w:rtl w:val="0"/>
          <w:lang w:val="en-US"/>
        </w:rPr>
        <w:t>3. SnSe as the Non-Toxic Invariant Material</w:t>
      </w:r>
    </w:p>
    <w:p>
      <w:pPr>
        <w:spacing w:after="160"/>
        <w:jc w:val="both"/>
      </w:pPr>
      <w:r>
        <w:rPr>
          <w:b w:val="0"/>
          <w:bCs w:val="0"/>
          <w:outline w:val="0"/>
          <w:color w:val="000000"/>
          <w:sz w:val="24"/>
          <w:szCs w:val="24"/>
          <w:u w:color="000000"/>
          <w:rtl w:val="0"/>
          <w:lang w:val="en-US"/>
          <w14:textFill>
            <w14:solidFill>
              <w14:srgbClr w14:val="000000"/>
            </w14:solidFill>
          </w14:textFill>
        </w:rPr>
        <w:t>SnSe is a layered van der Waals material with orthorhombic crystal structure exhibiting spontaneous in-plane electric polarization arising from the relative displacement of Sn and Se sublattices. This ferroelectricity has been experimentally confirmed at the monolayer limit at room temperature, with a ferroelectric transition temperature of approximately 380-400K — comparable to that of barium titanate, the canonical ferroelectric ceramic. Controlled room-temperature switching of ferroelectric domains in SnSe monolayers grown on graphene has been demonstrated using scanning tunneling microscopy, establishing the fundamental switching mechanism on which this architecture depends.</w:t>
      </w:r>
    </w:p>
    <w:p>
      <w:pPr>
        <w:spacing w:after="160"/>
        <w:jc w:val="both"/>
      </w:pPr>
      <w:r>
        <w:rPr>
          <w:b w:val="0"/>
          <w:bCs w:val="0"/>
          <w:outline w:val="0"/>
          <w:color w:val="000000"/>
          <w:sz w:val="24"/>
          <w:szCs w:val="24"/>
          <w:u w:color="000000"/>
          <w:rtl w:val="0"/>
          <w:lang w:val="en-US"/>
          <w14:textFill>
            <w14:solidFill>
              <w14:srgbClr w14:val="000000"/>
            </w14:solidFill>
          </w14:textFill>
        </w:rPr>
        <w:t>SnSe is selected as the primary material candidate on the basis of four invariant properties that simultaneously address the toxicity and stability challenges that limit competing halide perovskite compositions.</w:t>
      </w:r>
    </w:p>
    <w:p>
      <w:pPr>
        <w:spacing w:after="160"/>
        <w:jc w:val="both"/>
      </w:pPr>
      <w:r>
        <w:rPr>
          <w:b w:val="0"/>
          <w:bCs w:val="0"/>
          <w:outline w:val="0"/>
          <w:color w:val="000000"/>
          <w:sz w:val="24"/>
          <w:szCs w:val="24"/>
          <w:u w:color="000000"/>
          <w:rtl w:val="0"/>
          <w:lang w:val="en-US"/>
          <w14:textFill>
            <w14:solidFill>
              <w14:srgbClr w14:val="000000"/>
            </w14:solidFill>
          </w14:textFill>
        </w:rPr>
        <w:t>First, SnSe contains no lead, no tellurium, and no rare earth elements. Its constituents — tin and selenium — are abundant, non-toxic under normal operating conditions, and subject to no emerging regulatory restrictions. The shift from lead-based halide perovskites to SnSe as the primary candidate is not merely an environmental consideration but an engineering one: the absence of hygroscopic organic cations and toxic heavy metals eliminates the primary degradation pathways that limit device endurance in competing materials.</w:t>
      </w:r>
    </w:p>
    <w:p>
      <w:pPr>
        <w:spacing w:after="160"/>
        <w:jc w:val="both"/>
      </w:pPr>
      <w:r>
        <w:rPr>
          <w:b w:val="0"/>
          <w:bCs w:val="0"/>
          <w:outline w:val="0"/>
          <w:color w:val="000000"/>
          <w:sz w:val="24"/>
          <w:szCs w:val="24"/>
          <w:u w:color="000000"/>
          <w:rtl w:val="0"/>
          <w:lang w:val="en-US"/>
          <w14:textFill>
            <w14:solidFill>
              <w14:srgbClr w14:val="000000"/>
            </w14:solidFill>
          </w14:textFill>
        </w:rPr>
        <w:t>Second, SnSe exhibits room-temperature ferroelectric switching without thermal cycling. This is the property that distinguishes it fundamentally from all PCM-based photonic memory approaches. The switching mechanism — crystallographic direction change of the ionic lattice under applied field — does not require heating the material above any transition temperature. Energy per switching event is at the femtojoule scale, compared to tens of picojoules for GST thermal switching.</w:t>
      </w:r>
    </w:p>
    <w:p>
      <w:pPr>
        <w:spacing w:after="160"/>
        <w:jc w:val="both"/>
      </w:pPr>
      <w:r>
        <w:rPr>
          <w:b w:val="0"/>
          <w:bCs w:val="0"/>
          <w:outline w:val="0"/>
          <w:color w:val="000000"/>
          <w:sz w:val="24"/>
          <w:szCs w:val="24"/>
          <w:u w:color="000000"/>
          <w:rtl w:val="0"/>
          <w:lang w:val="en-US"/>
          <w14:textFill>
            <w14:solidFill>
              <w14:srgbClr w14:val="000000"/>
            </w14:solidFill>
          </w14:textFill>
        </w:rPr>
        <w:t>Third, and critically for the density calculations derived in Section 6, SnSe exhibits a measured birefringence of |</w:t>
      </w:r>
      <w:r>
        <w:rPr>
          <w:b w:val="0"/>
          <w:bCs w:val="0"/>
          <w:outline w:val="0"/>
          <w:color w:val="000000"/>
          <w:sz w:val="24"/>
          <w:szCs w:val="24"/>
          <w:u w:color="000000"/>
          <w:rtl w:val="0"/>
          <w14:textFill>
            <w14:solidFill>
              <w14:srgbClr w14:val="000000"/>
            </w14:solidFill>
          </w14:textFill>
        </w:rPr>
        <w:t>Δ</w:t>
      </w:r>
      <w:r>
        <w:rPr>
          <w:b w:val="0"/>
          <w:bCs w:val="0"/>
          <w:outline w:val="0"/>
          <w:color w:val="000000"/>
          <w:sz w:val="24"/>
          <w:szCs w:val="24"/>
          <w:u w:color="000000"/>
          <w:rtl w:val="0"/>
          <w:lang w:val="en-US"/>
          <w14:textFill>
            <w14:solidFill>
              <w14:srgbClr w14:val="000000"/>
            </w14:solidFill>
          </w14:textFill>
        </w:rPr>
        <w:t>n|max = 0.4 across a broadband near-infrared range spanning 1262 to 1586nm — encompassing the full telecom C-band at 1550nm. This value is derived from spectroscopic ellipsometry measurements and Mueller matrix characterization of physical SnSe crystals, not from theoretical calculation. The measured extinction ratio between polarization states reaches 23 dB in broadband polarizer configurations and 71 dB in angle-modulated configurations.</w:t>
      </w:r>
    </w:p>
    <w:p>
      <w:pPr>
        <w:spacing w:after="160"/>
        <w:jc w:val="both"/>
      </w:pPr>
      <w:r>
        <w:rPr>
          <w:b w:val="0"/>
          <w:bCs w:val="0"/>
          <w:outline w:val="0"/>
          <w:color w:val="000000"/>
          <w:sz w:val="24"/>
          <w:szCs w:val="24"/>
          <w:u w:color="000000"/>
          <w:rtl w:val="0"/>
          <w:lang w:val="en-US"/>
          <w14:textFill>
            <w14:solidFill>
              <w14:srgbClr w14:val="000000"/>
            </w14:solidFill>
          </w14:textFill>
        </w:rPr>
        <w:t>Fourth, SnSe crystal thickness is a tunable engineering parameter, not a fixed constraint. Unlike molecular-scale monolayer devices where brittleness limits practical fabrication, SnSe crystals of controlled thickness — from a few nanometers to hundreds of nanometers — can be produced by physical vapor deposition at 250</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fully compatible with back-end-of-line CMOS processing. Crucially, increased crystal thickness produces longer optical path length through the switching medium, which increases the accumulated phase contrast between ferroelectric states, which directly increases the number of resolvable analog storage levels. Thickness is therefore a performance parameter: thicker crystals simultaneously improve mechanical robustness and analog precision, with the optimal thickness determined by the system-level tradeoff between integration density and per-cell bit depth.</w:t>
      </w:r>
    </w:p>
    <w:p>
      <w:pPr>
        <w:spacing w:after="160"/>
        <w:jc w:val="both"/>
      </w:pPr>
      <w:r>
        <w:rPr>
          <w:b w:val="0"/>
          <w:bCs w:val="0"/>
          <w:outline w:val="0"/>
          <w:color w:val="000000"/>
          <w:sz w:val="24"/>
          <w:szCs w:val="24"/>
          <w:u w:color="000000"/>
          <w:rtl w:val="0"/>
          <w:lang w:val="en-US"/>
          <w14:textFill>
            <w14:solidFill>
              <w14:srgbClr w14:val="000000"/>
            </w14:solidFill>
          </w14:textFill>
        </w:rPr>
        <w:t>The graphene substrate is not an arbitrary mechanical support. Ferroelectric switching of SnSe monolayers has been specifically demonstrated on graphene substrates, where the metallic graphene layer provides screening of the polarization-bound charges at crystal edges — a condition that stabilizes the ferroelectric state against depolarization. The van der Waals registry between the SnSe orthorhombic lattice and the graphene hexagonal lattice produces highly oriented crystal growth with reduced defect density, directly improving optical homogeneity and analog storage precision.</w:t>
      </w:r>
    </w:p>
    <w:p>
      <w:pPr>
        <w:pStyle w:val="Heading1"/>
        <w:spacing w:before="320" w:after="160"/>
      </w:pPr>
      <w:r>
        <w:rPr>
          <w:rtl w:val="0"/>
          <w:lang w:val="en-US"/>
        </w:rPr>
        <w:t>4. Density Derivation from Measured Optical Constants</w:t>
      </w:r>
    </w:p>
    <w:p>
      <w:pPr>
        <w:spacing w:after="160"/>
        <w:jc w:val="both"/>
      </w:pPr>
      <w:r>
        <w:rPr>
          <w:b w:val="0"/>
          <w:bCs w:val="0"/>
          <w:outline w:val="0"/>
          <w:color w:val="000000"/>
          <w:sz w:val="24"/>
          <w:szCs w:val="24"/>
          <w:u w:color="000000"/>
          <w:rtl w:val="0"/>
          <w:lang w:val="en-US"/>
          <w14:textFill>
            <w14:solidFill>
              <w14:srgbClr w14:val="000000"/>
            </w14:solidFill>
          </w14:textFill>
        </w:rPr>
        <w:t>The storage density achievable in the proposed SnSe photonic memristor architecture is not an estimate or a theoretical projection. It is a calculation derived entirely from published, peer-reviewed measurements of SnSe optical constants. Every variable in the following derivation has a specific experimental citation.</w:t>
      </w:r>
    </w:p>
    <w:p>
      <w:pPr>
        <w:spacing w:after="160"/>
        <w:jc w:val="both"/>
      </w:pPr>
      <w:r>
        <w:rPr>
          <w:b w:val="0"/>
          <w:bCs w:val="0"/>
          <w:outline w:val="0"/>
          <w:color w:val="000000"/>
          <w:sz w:val="24"/>
          <w:szCs w:val="24"/>
          <w:u w:color="000000"/>
          <w:rtl w:val="0"/>
          <w:lang w:val="en-US"/>
          <w14:textFill>
            <w14:solidFill>
              <w14:srgbClr w14:val="000000"/>
            </w14:solidFill>
          </w14:textFill>
        </w:rPr>
        <w:t>The number of resolvable analog storage states per cell is determined by the extinction ratio between the two ferroelectric polarization states of SnSe. The extinction ratio ER in decibels defines the number of distinguishable optical power levels N as:</w:t>
      </w:r>
    </w:p>
    <w:p>
      <w:pPr>
        <w:spacing w:after="160"/>
        <w:jc w:val="both"/>
      </w:pPr>
      <w:r>
        <w:rPr>
          <w:b w:val="0"/>
          <w:bCs w:val="0"/>
          <w:outline w:val="0"/>
          <w:color w:val="000000"/>
          <w:sz w:val="24"/>
          <w:szCs w:val="24"/>
          <w:u w:color="000000"/>
          <w:rtl w:val="0"/>
          <w14:textFill>
            <w14:solidFill>
              <w14:srgbClr w14:val="000000"/>
            </w14:solidFill>
          </w14:textFill>
        </w:rPr>
        <w:t>N = 10^(ER/10)</w:t>
      </w:r>
    </w:p>
    <w:p>
      <w:pPr>
        <w:spacing w:after="160"/>
        <w:jc w:val="both"/>
      </w:pPr>
      <w:r>
        <w:rPr>
          <w:b w:val="0"/>
          <w:bCs w:val="0"/>
          <w:outline w:val="0"/>
          <w:color w:val="000000"/>
          <w:sz w:val="24"/>
          <w:szCs w:val="24"/>
          <w:u w:color="000000"/>
          <w:rtl w:val="0"/>
          <w:lang w:val="en-US"/>
          <w14:textFill>
            <w14:solidFill>
              <w14:srgbClr w14:val="000000"/>
            </w14:solidFill>
          </w14:textFill>
        </w:rPr>
        <w:t>Using the conservative lower-bound measured extinction ratio of 23 dB for SnSe in broadband polarizer configuration:</w:t>
      </w:r>
    </w:p>
    <w:p>
      <w:pPr>
        <w:spacing w:after="160"/>
        <w:jc w:val="both"/>
      </w:pPr>
      <w:r>
        <w:rPr>
          <w:b w:val="0"/>
          <w:bCs w:val="0"/>
          <w:outline w:val="0"/>
          <w:color w:val="000000"/>
          <w:sz w:val="24"/>
          <w:szCs w:val="24"/>
          <w:u w:color="000000"/>
          <w:rtl w:val="0"/>
          <w14:textFill>
            <w14:solidFill>
              <w14:srgbClr w14:val="000000"/>
            </w14:solidFill>
          </w14:textFill>
        </w:rPr>
        <w:t xml:space="preserve">N = 10^(23/10) = 10^2.3 ≈ </w:t>
      </w:r>
      <w:r>
        <w:rPr>
          <w:b w:val="0"/>
          <w:bCs w:val="0"/>
          <w:outline w:val="0"/>
          <w:color w:val="000000"/>
          <w:sz w:val="24"/>
          <w:szCs w:val="24"/>
          <w:u w:color="000000"/>
          <w:rtl w:val="0"/>
          <w:lang w:val="en-US"/>
          <w14:textFill>
            <w14:solidFill>
              <w14:srgbClr w14:val="000000"/>
            </w14:solidFill>
          </w14:textFill>
        </w:rPr>
        <w:t>200 states</w:t>
      </w:r>
    </w:p>
    <w:p>
      <w:pPr>
        <w:spacing w:after="160"/>
        <w:jc w:val="both"/>
      </w:pPr>
      <w:r>
        <w:rPr>
          <w:b w:val="0"/>
          <w:bCs w:val="0"/>
          <w:outline w:val="0"/>
          <w:color w:val="000000"/>
          <w:sz w:val="24"/>
          <w:szCs w:val="24"/>
          <w:u w:color="000000"/>
          <w:rtl w:val="0"/>
          <w:lang w:val="en-US"/>
          <w14:textFill>
            <w14:solidFill>
              <w14:srgbClr w14:val="000000"/>
            </w14:solidFill>
          </w14:textFill>
        </w:rPr>
        <w:t>The bit depth per cell is therefore:</w:t>
      </w:r>
    </w:p>
    <w:p>
      <w:pPr>
        <w:spacing w:after="160"/>
        <w:jc w:val="both"/>
      </w:pPr>
      <w:r>
        <w:rPr>
          <w:b w:val="0"/>
          <w:bCs w:val="0"/>
          <w:outline w:val="0"/>
          <w:color w:val="000000"/>
          <w:sz w:val="24"/>
          <w:szCs w:val="24"/>
          <w:u w:color="000000"/>
          <w:rtl w:val="0"/>
          <w:lang w:val="en-US"/>
          <w14:textFill>
            <w14:solidFill>
              <w14:srgbClr w14:val="000000"/>
            </w14:solidFill>
          </w14:textFill>
        </w:rPr>
        <w:t>bits/cell = log</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(200) ≈ 7.64 bits</w:t>
      </w:r>
    </w:p>
    <w:p>
      <w:pPr>
        <w:spacing w:after="160"/>
        <w:jc w:val="both"/>
      </w:pPr>
      <w:r>
        <w:rPr>
          <w:b w:val="0"/>
          <w:bCs w:val="0"/>
          <w:outline w:val="0"/>
          <w:color w:val="000000"/>
          <w:sz w:val="24"/>
          <w:szCs w:val="24"/>
          <w:u w:color="000000"/>
          <w:rtl w:val="0"/>
          <w:lang w:val="en-US"/>
          <w14:textFill>
            <w14:solidFill>
              <w14:srgbClr w14:val="000000"/>
            </w14:solidFill>
          </w14:textFill>
        </w:rPr>
        <w:t>This is the physical upper bound. A critical correction is required before this figure can be treated as a practical storage specification.</w:t>
      </w:r>
    </w:p>
    <w:p>
      <w:pPr>
        <w:spacing w:after="160"/>
        <w:jc w:val="both"/>
      </w:pPr>
      <w:r>
        <w:rPr>
          <w:b w:val="0"/>
          <w:bCs w:val="0"/>
          <w:outline w:val="0"/>
          <w:color w:val="000000"/>
          <w:sz w:val="24"/>
          <w:szCs w:val="24"/>
          <w:u w:color="000000"/>
          <w:rtl w:val="0"/>
          <w:lang w:val="en-US"/>
          <w14:textFill>
            <w14:solidFill>
              <w14:srgbClr w14:val="000000"/>
            </w14:solidFill>
          </w14:textFill>
        </w:rPr>
        <w:t>In analog memory systems, theoretical distinguishable states are not equivalent to usable storage states. Detector noise floor, shot noise, thermal drift of the ferroelectric state, polarization instability over time, and readout repeatability all reduce the number of reliably distinguishable levels. Guard bands must be maintained between levels to ensure error-free readout over the device lifetime. In photonic analog memory literature, usable states are conservatively estimated at 10-20% of theoretical maximum. Applying a conservative 10:1 derate factor to the 200 theoretical states derived from the 23 dB extinction ratio:</w:t>
      </w:r>
    </w:p>
    <w:p>
      <w:pPr>
        <w:spacing w:after="160"/>
        <w:jc w:val="both"/>
      </w:pPr>
      <w:r>
        <w:rPr>
          <w:b w:val="0"/>
          <w:bCs w:val="0"/>
          <w:outline w:val="0"/>
          <w:color w:val="000000"/>
          <w:sz w:val="24"/>
          <w:szCs w:val="24"/>
          <w:u w:color="000000"/>
          <w:rtl w:val="0"/>
          <w:lang w:val="en-US"/>
          <w14:textFill>
            <w14:solidFill>
              <w14:srgbClr w14:val="000000"/>
            </w14:solidFill>
          </w14:textFill>
        </w:rPr>
        <w:t xml:space="preserve">Usable states </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200 / 10 = 20 states</w:t>
      </w:r>
    </w:p>
    <w:p>
      <w:pPr>
        <w:spacing w:after="160"/>
        <w:jc w:val="both"/>
      </w:pPr>
      <w:r>
        <w:rPr>
          <w:b w:val="0"/>
          <w:bCs w:val="0"/>
          <w:outline w:val="0"/>
          <w:color w:val="000000"/>
          <w:sz w:val="24"/>
          <w:szCs w:val="24"/>
          <w:u w:color="000000"/>
          <w:rtl w:val="0"/>
          <w:lang w:val="en-US"/>
          <w14:textFill>
            <w14:solidFill>
              <w14:srgbClr w14:val="000000"/>
            </w14:solidFill>
          </w14:textFill>
        </w:rPr>
        <w:t>Practical bit depth per cell = log</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 xml:space="preserve">(20) ≈ </w:t>
      </w:r>
      <w:r>
        <w:rPr>
          <w:b w:val="0"/>
          <w:bCs w:val="0"/>
          <w:outline w:val="0"/>
          <w:color w:val="000000"/>
          <w:sz w:val="24"/>
          <w:szCs w:val="24"/>
          <w:u w:color="000000"/>
          <w:rtl w:val="0"/>
          <w:lang w:val="it-IT"/>
          <w14:textFill>
            <w14:solidFill>
              <w14:srgbClr w14:val="000000"/>
            </w14:solidFill>
          </w14:textFill>
        </w:rPr>
        <w:t>4.3 bits per cell</w:t>
      </w:r>
    </w:p>
    <w:p>
      <w:pPr>
        <w:spacing w:after="160"/>
        <w:jc w:val="both"/>
      </w:pPr>
      <w:r>
        <w:rPr>
          <w:b w:val="0"/>
          <w:bCs w:val="0"/>
          <w:outline w:val="0"/>
          <w:color w:val="000000"/>
          <w:sz w:val="24"/>
          <w:szCs w:val="24"/>
          <w:u w:color="000000"/>
          <w:rtl w:val="0"/>
          <w:lang w:val="en-US"/>
          <w14:textFill>
            <w14:solidFill>
              <w14:srgbClr w14:val="000000"/>
            </w14:solidFill>
          </w14:textFill>
        </w:rPr>
        <w:t xml:space="preserve">This figure — </w:t>
      </w:r>
      <w:r>
        <w:rPr>
          <w:b w:val="0"/>
          <w:bCs w:val="0"/>
          <w:outline w:val="0"/>
          <w:color w:val="000000"/>
          <w:sz w:val="24"/>
          <w:szCs w:val="24"/>
          <w:u w:color="000000"/>
          <w:rtl w:val="0"/>
          <w:lang w:val="it-IT"/>
          <w14:textFill>
            <w14:solidFill>
              <w14:srgbClr w14:val="000000"/>
            </w14:solidFill>
          </w14:textFill>
        </w:rPr>
        <w:t xml:space="preserve">4.3 bits per cell </w:t>
      </w:r>
      <w:r>
        <w:rPr>
          <w:b w:val="0"/>
          <w:bCs w:val="0"/>
          <w:outline w:val="0"/>
          <w:color w:val="000000"/>
          <w:sz w:val="24"/>
          <w:szCs w:val="24"/>
          <w:u w:color="000000"/>
          <w:rtl w:val="0"/>
          <w:lang w:val="en-US"/>
          <w14:textFill>
            <w14:solidFill>
              <w14:srgbClr w14:val="000000"/>
            </w14:solidFill>
          </w14:textFill>
        </w:rPr>
        <w:t>— is the practical storage specification used in all subsequent density calculations. It remains substantially above the 3-bit ceiling of triple-level cell NAND flash, and the derate factor is explicitly stated so reviewers can apply their own assumptions.</w:t>
      </w:r>
    </w:p>
    <w:p>
      <w:pPr>
        <w:spacing w:after="160"/>
        <w:jc w:val="both"/>
      </w:pPr>
      <w:r>
        <w:rPr>
          <w:b w:val="0"/>
          <w:bCs w:val="0"/>
          <w:outline w:val="0"/>
          <w:color w:val="000000"/>
          <w:sz w:val="24"/>
          <w:szCs w:val="24"/>
          <w:u w:color="000000"/>
          <w:rtl w:val="0"/>
          <w:lang w:val="en-US"/>
          <w14:textFill>
            <w14:solidFill>
              <w14:srgbClr w14:val="000000"/>
            </w14:solidFill>
          </w14:textFill>
        </w:rPr>
        <w:t xml:space="preserve">The diffraction-limited optical addressing spot size at telecom wavelength </w:t>
      </w:r>
      <w:r>
        <w:rPr>
          <w:b w:val="0"/>
          <w:bCs w:val="0"/>
          <w:outline w:val="0"/>
          <w:color w:val="000000"/>
          <w:sz w:val="24"/>
          <w:szCs w:val="24"/>
          <w:u w:color="000000"/>
          <w:rtl w:val="0"/>
          <w14:textFill>
            <w14:solidFill>
              <w14:srgbClr w14:val="000000"/>
            </w14:solidFill>
          </w14:textFill>
        </w:rPr>
        <w:t xml:space="preserve">λ </w:t>
      </w:r>
      <w:r>
        <w:rPr>
          <w:b w:val="0"/>
          <w:bCs w:val="0"/>
          <w:outline w:val="0"/>
          <w:color w:val="000000"/>
          <w:sz w:val="24"/>
          <w:szCs w:val="24"/>
          <w:u w:color="000000"/>
          <w:rtl w:val="0"/>
          <w:lang w:val="en-US"/>
          <w14:textFill>
            <w14:solidFill>
              <w14:srgbClr w14:val="000000"/>
            </w14:solidFill>
          </w14:textFill>
        </w:rPr>
        <w:t xml:space="preserve">= 1550nm in a medium of refractive index n </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3 (measured for SnSe in the near-infrared) is:</w:t>
      </w:r>
    </w:p>
    <w:p>
      <w:pPr>
        <w:spacing w:after="160"/>
        <w:jc w:val="both"/>
      </w:pPr>
      <w:r>
        <w:rPr>
          <w:b w:val="0"/>
          <w:bCs w:val="0"/>
          <w:outline w:val="0"/>
          <w:color w:val="000000"/>
          <w:sz w:val="24"/>
          <w:szCs w:val="24"/>
          <w:u w:color="000000"/>
          <w:rtl w:val="0"/>
          <w14:textFill>
            <w14:solidFill>
              <w14:srgbClr w14:val="000000"/>
            </w14:solidFill>
          </w14:textFill>
        </w:rPr>
        <w:t xml:space="preserve">d = λ/(2n) = 1550nm / (2 × </w:t>
      </w:r>
      <w:r>
        <w:rPr>
          <w:b w:val="0"/>
          <w:bCs w:val="0"/>
          <w:outline w:val="0"/>
          <w:color w:val="000000"/>
          <w:sz w:val="24"/>
          <w:szCs w:val="24"/>
          <w:u w:color="000000"/>
          <w:rtl w:val="0"/>
          <w:lang w:val="pt-PT"/>
          <w14:textFill>
            <w14:solidFill>
              <w14:srgbClr w14:val="000000"/>
            </w14:solidFill>
          </w14:textFill>
        </w:rPr>
        <w:t>3) = 258nm diameter</w:t>
      </w:r>
    </w:p>
    <w:p>
      <w:pPr>
        <w:spacing w:after="160"/>
        <w:jc w:val="both"/>
      </w:pPr>
      <w:r>
        <w:rPr>
          <w:b w:val="0"/>
          <w:bCs w:val="0"/>
          <w:outline w:val="0"/>
          <w:color w:val="000000"/>
          <w:sz w:val="24"/>
          <w:szCs w:val="24"/>
          <w:u w:color="000000"/>
          <w:rtl w:val="0"/>
          <w:lang w:val="en-US"/>
          <w14:textFill>
            <w14:solidFill>
              <w14:srgbClr w14:val="000000"/>
            </w14:solidFill>
          </w14:textFill>
        </w:rPr>
        <w:t>The area per addressable cell is:</w:t>
      </w:r>
    </w:p>
    <w:p>
      <w:pPr>
        <w:spacing w:after="160"/>
        <w:jc w:val="both"/>
      </w:pPr>
      <w:r>
        <w:rPr>
          <w:b w:val="0"/>
          <w:bCs w:val="0"/>
          <w:outline w:val="0"/>
          <w:color w:val="000000"/>
          <w:sz w:val="24"/>
          <w:szCs w:val="24"/>
          <w:u w:color="000000"/>
          <w:rtl w:val="0"/>
          <w:lang w:val="pt-PT"/>
          <w14:textFill>
            <w14:solidFill>
              <w14:srgbClr w14:val="000000"/>
            </w14:solidFill>
          </w14:textFill>
        </w:rPr>
        <w:t xml:space="preserve">A = </w:t>
      </w:r>
      <w:r>
        <w:rPr>
          <w:b w:val="0"/>
          <w:bCs w:val="0"/>
          <w:outline w:val="0"/>
          <w:color w:val="000000"/>
          <w:sz w:val="24"/>
          <w:szCs w:val="24"/>
          <w:u w:color="000000"/>
          <w:rtl w:val="0"/>
          <w14:textFill>
            <w14:solidFill>
              <w14:srgbClr w14:val="000000"/>
            </w14:solidFill>
          </w14:textFill>
        </w:rPr>
        <w:t>π × (d/2)² = π × (129nm)² = 52,276 nm²</w:t>
      </w:r>
    </w:p>
    <w:p>
      <w:pPr>
        <w:spacing w:after="160"/>
        <w:jc w:val="both"/>
      </w:pPr>
      <w:r>
        <w:rPr>
          <w:b w:val="0"/>
          <w:bCs w:val="0"/>
          <w:outline w:val="0"/>
          <w:color w:val="000000"/>
          <w:sz w:val="24"/>
          <w:szCs w:val="24"/>
          <w:u w:color="000000"/>
          <w:rtl w:val="0"/>
          <w:lang w:val="en-US"/>
          <w14:textFill>
            <w14:solidFill>
              <w14:srgbClr w14:val="000000"/>
            </w14:solidFill>
          </w14:textFill>
        </w:rPr>
        <w:t>Converting to cm</w:t>
      </w:r>
      <w:r>
        <w:rPr>
          <w:b w:val="0"/>
          <w:bCs w:val="0"/>
          <w:outline w:val="0"/>
          <w:color w:val="000000"/>
          <w:sz w:val="24"/>
          <w:szCs w:val="24"/>
          <w:u w:color="000000"/>
          <w:rtl w:val="0"/>
          <w14:textFill>
            <w14:solidFill>
              <w14:srgbClr w14:val="000000"/>
            </w14:solidFill>
          </w14:textFill>
        </w:rPr>
        <w:t>²:</w:t>
      </w:r>
    </w:p>
    <w:p>
      <w:pPr>
        <w:spacing w:after="160"/>
        <w:jc w:val="both"/>
      </w:pPr>
      <w:r>
        <w:rPr>
          <w:b w:val="0"/>
          <w:bCs w:val="0"/>
          <w:outline w:val="0"/>
          <w:color w:val="000000"/>
          <w:sz w:val="24"/>
          <w:szCs w:val="24"/>
          <w:u w:color="000000"/>
          <w:rtl w:val="0"/>
          <w14:textFill>
            <w14:solidFill>
              <w14:srgbClr w14:val="000000"/>
            </w14:solidFill>
          </w14:textFill>
        </w:rPr>
        <w:t>A = 52,276 ×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b w:val="0"/>
          <w:bCs w:val="0"/>
          <w:outline w:val="0"/>
          <w:color w:val="000000"/>
          <w:sz w:val="24"/>
          <w:szCs w:val="24"/>
          <w:u w:color="000000"/>
          <w:rtl w:val="0"/>
          <w14:textFill>
            <w14:solidFill>
              <w14:srgbClr w14:val="000000"/>
            </w14:solidFill>
          </w14:textFill>
        </w:rPr>
        <w:t>¹</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⁴</w:t>
      </w:r>
      <w:r>
        <w:rPr>
          <w:b w:val="0"/>
          <w:bCs w:val="0"/>
          <w:outline w:val="0"/>
          <w:color w:val="000000"/>
          <w:sz w:val="24"/>
          <w:szCs w:val="24"/>
          <w:u w:color="000000"/>
          <w:rtl w:val="0"/>
          <w14:textFill>
            <w14:solidFill>
              <w14:srgbClr w14:val="000000"/>
            </w14:solidFill>
          </w14:textFill>
        </w:rPr>
        <w:t xml:space="preserve"> cm² = 5.23 ×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b w:val="0"/>
          <w:bCs w:val="0"/>
          <w:outline w:val="0"/>
          <w:color w:val="000000"/>
          <w:sz w:val="24"/>
          <w:szCs w:val="24"/>
          <w:u w:color="000000"/>
          <w:rtl w:val="0"/>
          <w14:textFill>
            <w14:solidFill>
              <w14:srgbClr w14:val="000000"/>
            </w14:solidFill>
          </w14:textFill>
        </w:rPr>
        <w:t>¹</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⁰</w:t>
      </w:r>
      <w:r>
        <w:rPr>
          <w:b w:val="0"/>
          <w:bCs w:val="0"/>
          <w:outline w:val="0"/>
          <w:color w:val="000000"/>
          <w:sz w:val="24"/>
          <w:szCs w:val="24"/>
          <w:u w:color="000000"/>
          <w:rtl w:val="0"/>
          <w14:textFill>
            <w14:solidFill>
              <w14:srgbClr w14:val="000000"/>
            </w14:solidFill>
          </w14:textFill>
        </w:rPr>
        <w:t xml:space="preserve"> cm²</w:t>
      </w:r>
    </w:p>
    <w:p>
      <w:pPr>
        <w:spacing w:after="160"/>
        <w:jc w:val="both"/>
      </w:pPr>
      <w:r>
        <w:rPr>
          <w:b w:val="0"/>
          <w:bCs w:val="0"/>
          <w:outline w:val="0"/>
          <w:color w:val="000000"/>
          <w:sz w:val="24"/>
          <w:szCs w:val="24"/>
          <w:u w:color="000000"/>
          <w:rtl w:val="0"/>
          <w:lang w:val="en-US"/>
          <w14:textFill>
            <w14:solidFill>
              <w14:srgbClr w14:val="000000"/>
            </w14:solidFill>
          </w14:textFill>
        </w:rPr>
        <w:t>The practical areal storage density of a single SnSe photonic memristor layer is:</w:t>
      </w:r>
    </w:p>
    <w:p>
      <w:pPr>
        <w:spacing w:after="160"/>
        <w:jc w:val="both"/>
      </w:pPr>
      <w:r>
        <w:rPr>
          <w:b w:val="0"/>
          <w:bCs w:val="0"/>
          <w:outline w:val="0"/>
          <w:color w:val="000000"/>
          <w:sz w:val="24"/>
          <w:szCs w:val="24"/>
          <w:u w:color="000000"/>
          <w:rtl w:val="0"/>
          <w14:textFill>
            <w14:solidFill>
              <w14:srgbClr w14:val="000000"/>
            </w14:solidFill>
          </w14:textFill>
        </w:rPr>
        <w:t>ρ</w:t>
      </w:r>
      <w:r>
        <w:rPr>
          <w:b w:val="0"/>
          <w:bCs w:val="0"/>
          <w:outline w:val="0"/>
          <w:color w:val="000000"/>
          <w:sz w:val="24"/>
          <w:szCs w:val="24"/>
          <w:u w:color="000000"/>
          <w:rtl w:val="0"/>
          <w:lang w:val="en-US"/>
          <w14:textFill>
            <w14:solidFill>
              <w14:srgbClr w14:val="000000"/>
            </w14:solidFill>
          </w14:textFill>
        </w:rPr>
        <w:t xml:space="preserve">_single = 4.3 bits / 5.23 </w:t>
      </w:r>
      <w:r>
        <w:rPr>
          <w:b w:val="0"/>
          <w:bCs w:val="0"/>
          <w:outline w:val="0"/>
          <w:color w:val="000000"/>
          <w:sz w:val="24"/>
          <w:szCs w:val="24"/>
          <w:u w:color="000000"/>
          <w:rtl w:val="0"/>
          <w14:textFill>
            <w14:solidFill>
              <w14:srgbClr w14:val="000000"/>
            </w14:solidFill>
          </w14:textFill>
        </w:rPr>
        <w:t>×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w:t>
      </w:r>
      <w:r>
        <w:rPr>
          <w:b w:val="0"/>
          <w:bCs w:val="0"/>
          <w:outline w:val="0"/>
          <w:color w:val="000000"/>
          <w:sz w:val="24"/>
          <w:szCs w:val="24"/>
          <w:u w:color="000000"/>
          <w:rtl w:val="0"/>
          <w14:textFill>
            <w14:solidFill>
              <w14:srgbClr w14:val="000000"/>
            </w14:solidFill>
          </w14:textFill>
        </w:rPr>
        <w:t>¹</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⁰</w:t>
      </w:r>
      <w:r>
        <w:rPr>
          <w:b w:val="0"/>
          <w:bCs w:val="0"/>
          <w:outline w:val="0"/>
          <w:color w:val="000000"/>
          <w:sz w:val="24"/>
          <w:szCs w:val="24"/>
          <w:u w:color="000000"/>
          <w:rtl w:val="0"/>
          <w14:textFill>
            <w14:solidFill>
              <w14:srgbClr w14:val="000000"/>
            </w14:solidFill>
          </w14:textFill>
        </w:rPr>
        <w:t xml:space="preserve"> cm² = 8.22 ×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⁹</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bits/cm</w:t>
      </w:r>
      <w:r>
        <w:rPr>
          <w:b w:val="0"/>
          <w:bCs w:val="0"/>
          <w:outline w:val="0"/>
          <w:color w:val="000000"/>
          <w:sz w:val="24"/>
          <w:szCs w:val="24"/>
          <w:u w:color="000000"/>
          <w:rtl w:val="0"/>
          <w14:textFill>
            <w14:solidFill>
              <w14:srgbClr w14:val="000000"/>
            </w14:solidFill>
          </w14:textFill>
        </w:rPr>
        <w:t xml:space="preserve">² </w:t>
      </w:r>
      <w:r>
        <w:rPr>
          <w:b w:val="0"/>
          <w:bCs w:val="0"/>
          <w:outline w:val="0"/>
          <w:color w:val="000000"/>
          <w:sz w:val="24"/>
          <w:szCs w:val="24"/>
          <w:u w:color="000000"/>
          <w:rtl w:val="0"/>
          <w:lang w:val="en-US"/>
          <w14:textFill>
            <w14:solidFill>
              <w14:srgbClr w14:val="000000"/>
            </w14:solidFill>
          </w14:textFill>
        </w:rPr>
        <w:t>= 8.22 Gbits/cm</w:t>
      </w:r>
      <w:r>
        <w:rPr>
          <w:b w:val="0"/>
          <w:bCs w:val="0"/>
          <w:outline w:val="0"/>
          <w:color w:val="000000"/>
          <w:sz w:val="24"/>
          <w:szCs w:val="24"/>
          <w:u w:color="000000"/>
          <w:rtl w:val="0"/>
          <w14:textFill>
            <w14:solidFill>
              <w14:srgbClr w14:val="000000"/>
            </w14:solidFill>
          </w14:textFill>
        </w:rPr>
        <w:t>²</w:t>
      </w:r>
    </w:p>
    <w:p>
      <w:pPr>
        <w:spacing w:after="160"/>
        <w:jc w:val="both"/>
      </w:pPr>
      <w:r>
        <w:rPr>
          <w:b w:val="0"/>
          <w:bCs w:val="0"/>
          <w:outline w:val="0"/>
          <w:color w:val="000000"/>
          <w:sz w:val="24"/>
          <w:szCs w:val="24"/>
          <w:u w:color="000000"/>
          <w:rtl w:val="0"/>
          <w:lang w:val="en-US"/>
          <w14:textFill>
            <w14:solidFill>
              <w14:srgbClr w14:val="000000"/>
            </w14:solidFill>
          </w14:textFill>
        </w:rPr>
        <w:t>Stacking architecture is addressed separately in Section 6, where layer count N is treated as a system engineering variable rather than a fixed parameter. For a stack of N complementary layer pairs, total density scales as:</w:t>
      </w:r>
    </w:p>
    <w:p>
      <w:pPr>
        <w:spacing w:after="160"/>
        <w:jc w:val="both"/>
      </w:pPr>
      <w:r>
        <w:rPr>
          <w:b w:val="0"/>
          <w:bCs w:val="0"/>
          <w:outline w:val="0"/>
          <w:color w:val="000000"/>
          <w:sz w:val="24"/>
          <w:szCs w:val="24"/>
          <w:u w:color="000000"/>
          <w:rtl w:val="0"/>
          <w14:textFill>
            <w14:solidFill>
              <w14:srgbClr w14:val="000000"/>
            </w14:solidFill>
          </w14:textFill>
        </w:rPr>
        <w:t>ρ</w:t>
      </w:r>
      <w:r>
        <w:rPr>
          <w:b w:val="0"/>
          <w:bCs w:val="0"/>
          <w:outline w:val="0"/>
          <w:color w:val="000000"/>
          <w:sz w:val="24"/>
          <w:szCs w:val="24"/>
          <w:u w:color="000000"/>
          <w:rtl w:val="0"/>
          <w:lang w:val="en-US"/>
          <w14:textFill>
            <w14:solidFill>
              <w14:srgbClr w14:val="000000"/>
            </w14:solidFill>
          </w14:textFill>
        </w:rPr>
        <w:t>_stack = 8.22 Gbits/cm</w:t>
      </w:r>
      <w:r>
        <w:rPr>
          <w:b w:val="0"/>
          <w:bCs w:val="0"/>
          <w:outline w:val="0"/>
          <w:color w:val="000000"/>
          <w:sz w:val="24"/>
          <w:szCs w:val="24"/>
          <w:u w:color="000000"/>
          <w:rtl w:val="0"/>
          <w14:textFill>
            <w14:solidFill>
              <w14:srgbClr w14:val="000000"/>
            </w14:solidFill>
          </w14:textFill>
        </w:rPr>
        <w:t xml:space="preserve">² × </w:t>
      </w:r>
      <w:r>
        <w:rPr>
          <w:b w:val="0"/>
          <w:bCs w:val="0"/>
          <w:outline w:val="0"/>
          <w:color w:val="000000"/>
          <w:sz w:val="24"/>
          <w:szCs w:val="24"/>
          <w:u w:color="000000"/>
          <w:rtl w:val="0"/>
          <w:lang w:val="en-US"/>
          <w14:textFill>
            <w14:solidFill>
              <w14:srgbClr w14:val="000000"/>
            </w14:solidFill>
          </w14:textFill>
        </w:rPr>
        <w:t>N pairs</w:t>
      </w:r>
    </w:p>
    <w:p>
      <w:pPr>
        <w:spacing w:after="160"/>
        <w:jc w:val="both"/>
      </w:pPr>
      <w:r>
        <w:rPr>
          <w:b w:val="0"/>
          <w:bCs w:val="0"/>
          <w:outline w:val="0"/>
          <w:color w:val="000000"/>
          <w:sz w:val="24"/>
          <w:szCs w:val="24"/>
          <w:u w:color="000000"/>
          <w:rtl w:val="0"/>
          <w:lang w:val="en-US"/>
          <w14:textFill>
            <w14:solidFill>
              <w14:srgbClr w14:val="000000"/>
            </w14:solidFill>
          </w14:textFill>
        </w:rPr>
        <w:t>Current state-of-the-art 3D NAND flash achieves approximately 10 Gbits/cm</w:t>
      </w:r>
      <w:r>
        <w:rPr>
          <w:b w:val="0"/>
          <w:bCs w:val="0"/>
          <w:outline w:val="0"/>
          <w:color w:val="000000"/>
          <w:sz w:val="24"/>
          <w:szCs w:val="24"/>
          <w:u w:color="000000"/>
          <w:rtl w:val="0"/>
          <w14:textFill>
            <w14:solidFill>
              <w14:srgbClr w14:val="000000"/>
            </w14:solidFill>
          </w14:textFill>
        </w:rPr>
        <w:t>²</w:t>
      </w:r>
      <w:r>
        <w:rPr>
          <w:b w:val="0"/>
          <w:bCs w:val="0"/>
          <w:outline w:val="0"/>
          <w:color w:val="000000"/>
          <w:sz w:val="24"/>
          <w:szCs w:val="24"/>
          <w:u w:color="000000"/>
          <w:rtl w:val="0"/>
          <w:lang w:val="en-US"/>
          <w14:textFill>
            <w14:solidFill>
              <w14:srgbClr w14:val="000000"/>
            </w14:solidFill>
          </w14:textFill>
        </w:rPr>
        <w:t>. A single complementary layer pair of the proposed architecture approaches this figure. Each additional pair adds 8.22 Gbits/cm</w:t>
      </w:r>
      <w:r>
        <w:rPr>
          <w:b w:val="0"/>
          <w:bCs w:val="0"/>
          <w:outline w:val="0"/>
          <w:color w:val="000000"/>
          <w:sz w:val="24"/>
          <w:szCs w:val="24"/>
          <w:u w:color="000000"/>
          <w:rtl w:val="0"/>
          <w14:textFill>
            <w14:solidFill>
              <w14:srgbClr w14:val="000000"/>
            </w14:solidFill>
          </w14:textFill>
        </w:rPr>
        <w:t xml:space="preserve">² </w:t>
      </w:r>
      <w:r>
        <w:rPr>
          <w:b w:val="0"/>
          <w:bCs w:val="0"/>
          <w:outline w:val="0"/>
          <w:color w:val="000000"/>
          <w:sz w:val="24"/>
          <w:szCs w:val="24"/>
          <w:u w:color="000000"/>
          <w:rtl w:val="0"/>
          <w:lang w:val="en-US"/>
          <w14:textFill>
            <w14:solidFill>
              <w14:srgbClr w14:val="000000"/>
            </w14:solidFill>
          </w14:textFill>
        </w:rPr>
        <w:t>of addressable storage — with no increase in data movement overhead, since computation occurs within the memory medium itself.</w:t>
      </w:r>
    </w:p>
    <w:p>
      <w:pPr>
        <w:spacing w:after="160"/>
        <w:jc w:val="both"/>
      </w:pPr>
      <w:r>
        <w:rPr>
          <w:b w:val="0"/>
          <w:bCs w:val="0"/>
          <w:outline w:val="0"/>
          <w:color w:val="000000"/>
          <w:sz w:val="24"/>
          <w:szCs w:val="24"/>
          <w:u w:color="000000"/>
          <w:rtl w:val="0"/>
          <w:lang w:val="en-US"/>
          <w14:textFill>
            <w14:solidFill>
              <w14:srgbClr w14:val="000000"/>
            </w14:solidFill>
          </w14:textFill>
        </w:rPr>
        <w:t xml:space="preserve">Three points are essential to the interpretation of these figures. First, the 4.3 bits per cell figure is deliberately conservative — the 10:1 derate factor is stated explicitly and reviewers are invited to apply alternative derate assumptions. Second, increased crystal thickness simultaneously improves mechanical robustness and optical path length, increasing extinction ratio and therefore the number of resolvable states — thickness is a self-reinforcing performance parameter that improves the practical bit depth figure without changing the derivation structure. Third, the upper-bound figure of 7.64 bits per cell — derived directly from the measured 23 dB extinction ratio without derate — remains physically valid as a theoretical ceiling and is reported here for completeness: </w:t>
      </w:r>
      <w:r>
        <w:rPr>
          <w:b w:val="0"/>
          <w:bCs w:val="0"/>
          <w:outline w:val="0"/>
          <w:color w:val="000000"/>
          <w:sz w:val="24"/>
          <w:szCs w:val="24"/>
          <w:u w:color="000000"/>
          <w:rtl w:val="0"/>
          <w14:textFill>
            <w14:solidFill>
              <w14:srgbClr w14:val="000000"/>
            </w14:solidFill>
          </w14:textFill>
        </w:rPr>
        <w:t>ρ</w:t>
      </w:r>
      <w:r>
        <w:rPr>
          <w:b w:val="0"/>
          <w:bCs w:val="0"/>
          <w:outline w:val="0"/>
          <w:color w:val="000000"/>
          <w:sz w:val="24"/>
          <w:szCs w:val="24"/>
          <w:u w:color="000000"/>
          <w:rtl w:val="0"/>
          <w:lang w:val="en-US"/>
          <w14:textFill>
            <w14:solidFill>
              <w14:srgbClr w14:val="000000"/>
            </w14:solidFill>
          </w14:textFill>
        </w:rPr>
        <w:t>_single_upper = 14.6 Gbits/cm</w:t>
      </w:r>
      <w:r>
        <w:rPr>
          <w:b w:val="0"/>
          <w:bCs w:val="0"/>
          <w:outline w:val="0"/>
          <w:color w:val="000000"/>
          <w:sz w:val="24"/>
          <w:szCs w:val="24"/>
          <w:u w:color="000000"/>
          <w:rtl w:val="0"/>
          <w14:textFill>
            <w14:solidFill>
              <w14:srgbClr w14:val="000000"/>
            </w14:solidFill>
          </w14:textFill>
        </w:rPr>
        <w:t>².</w:t>
      </w:r>
    </w:p>
    <w:p>
      <w:pPr>
        <w:spacing w:after="160"/>
        <w:jc w:val="both"/>
      </w:pPr>
      <w:r>
        <w:rPr>
          <w:b w:val="0"/>
          <w:bCs w:val="0"/>
          <w:outline w:val="0"/>
          <w:color w:val="000000"/>
          <w:sz w:val="24"/>
          <w:szCs w:val="24"/>
          <w:u w:color="000000"/>
          <w:rtl w:val="0"/>
          <w:lang w:val="en-US"/>
          <w14:textFill>
            <w14:solidFill>
              <w14:srgbClr w14:val="000000"/>
            </w14:solidFill>
          </w14:textFill>
        </w:rPr>
        <w:t>Achieving the projected ~4.3 bits per cell requires system-level optical noise, drift, and interlayer crosstalk to remain below approximately 1% of full-scale signal, defining the engineering requirements for readout precision and stack isolation.</w:t>
      </w:r>
    </w:p>
    <w:p>
      <w:pPr>
        <w:pStyle w:val="Heading1"/>
        <w:spacing w:before="320" w:after="160"/>
      </w:pPr>
      <w:r>
        <w:rPr>
          <w:rtl w:val="0"/>
          <w:lang w:val="en-US"/>
        </w:rPr>
        <w:t>5. Graphene Substrate: Epitaxial Template, Electrostatic Stabilizer, and Optical Confinement</w:t>
      </w:r>
    </w:p>
    <w:p>
      <w:pPr>
        <w:spacing w:after="160"/>
        <w:jc w:val="both"/>
      </w:pPr>
      <w:r>
        <w:rPr>
          <w:b w:val="0"/>
          <w:bCs w:val="0"/>
          <w:outline w:val="0"/>
          <w:color w:val="000000"/>
          <w:sz w:val="24"/>
          <w:szCs w:val="24"/>
          <w:u w:color="000000"/>
          <w:rtl w:val="0"/>
          <w:lang w:val="en-US"/>
          <w14:textFill>
            <w14:solidFill>
              <w14:srgbClr w14:val="000000"/>
            </w14:solidFill>
          </w14:textFill>
        </w:rPr>
        <w:t>The graphene substrate plays three distinct roles in the photonic memristor architecture, each physically motivated.</w:t>
      </w:r>
    </w:p>
    <w:p>
      <w:pPr>
        <w:spacing w:after="160"/>
        <w:jc w:val="both"/>
      </w:pPr>
      <w:r>
        <w:rPr>
          <w:b w:val="0"/>
          <w:bCs w:val="0"/>
          <w:outline w:val="0"/>
          <w:color w:val="000000"/>
          <w:sz w:val="24"/>
          <w:szCs w:val="24"/>
          <w:u w:color="000000"/>
          <w:rtl w:val="0"/>
          <w:lang w:val="en-US"/>
          <w14:textFill>
            <w14:solidFill>
              <w14:srgbClr w14:val="000000"/>
            </w14:solidFill>
          </w14:textFill>
        </w:rPr>
        <w:t>First, graphene provides epitaxial templating for SnSe crystal growth. The van der Waals registry between the SnSe orthorhombic lattice and the graphene hexagonal lattice drives highly oriented crystal growth, reducing grain boundary density and improving optical homogeneity across the active layer. This epitaxial relationship has been experimentally demonstrated: SnSe monolayers grown on graphene show controlled ferroelectric domain structures not observed on amorphous substrates, confirming that the graphene-SnSe interface actively organizes the crystal rather than merely supporting it.</w:t>
      </w:r>
    </w:p>
    <w:p>
      <w:pPr>
        <w:spacing w:after="160"/>
        <w:jc w:val="both"/>
      </w:pPr>
      <w:r>
        <w:rPr>
          <w:b w:val="0"/>
          <w:bCs w:val="0"/>
          <w:outline w:val="0"/>
          <w:color w:val="000000"/>
          <w:sz w:val="24"/>
          <w:szCs w:val="24"/>
          <w:u w:color="000000"/>
          <w:rtl w:val="0"/>
          <w:lang w:val="en-US"/>
          <w14:textFill>
            <w14:solidFill>
              <w14:srgbClr w14:val="000000"/>
            </w14:solidFill>
          </w14:textFill>
        </w:rPr>
        <w:t>Second, graphene provides electrostatic screening of polarization-bound charges at SnSe crystal edges and domain walls. In a 2D ferroelectric with in-plane polarization, unscreened bound charges at crystal boundaries create depolarizing fields that destabilize the ferroelectric state. The metallic graphene substrate screens these charges, stabilizing the ferroelectric domains against thermally-driven depolarization at room temperature. This screening effect is the physical reason that controlled ferroelectric switching has been demonstrated in SnSe specifically on graphene substrates — the substrate is not passive but actively participates in maintaining the memory state.</w:t>
      </w:r>
    </w:p>
    <w:p>
      <w:pPr>
        <w:spacing w:after="160"/>
        <w:jc w:val="both"/>
      </w:pPr>
      <w:r>
        <w:rPr>
          <w:b w:val="0"/>
          <w:bCs w:val="0"/>
          <w:outline w:val="0"/>
          <w:color w:val="000000"/>
          <w:sz w:val="24"/>
          <w:szCs w:val="24"/>
          <w:u w:color="000000"/>
          <w:rtl w:val="0"/>
          <w:lang w:val="en-US"/>
          <w14:textFill>
            <w14:solidFill>
              <w14:srgbClr w14:val="000000"/>
            </w14:solidFill>
          </w14:textFill>
        </w:rPr>
        <w:t>Third, graphene provides optical mode confinement at the lower boundary of the active layer. The high refractive index contrast between graphene and the substrate creates a photonic boundary condition that concentrates the evanescent optical field within the overlying SnSe crystal, reducing the optical power required for read and write operations and improving the signal-to-noise ratio of polarization state readout.</w:t>
      </w:r>
    </w:p>
    <w:p>
      <w:pPr>
        <w:spacing w:after="160"/>
        <w:jc w:val="both"/>
      </w:pPr>
      <w:r>
        <w:rPr>
          <w:b w:val="0"/>
          <w:bCs w:val="0"/>
          <w:outline w:val="0"/>
          <w:color w:val="000000"/>
          <w:sz w:val="24"/>
          <w:szCs w:val="24"/>
          <w:u w:color="000000"/>
          <w:rtl w:val="0"/>
          <w:lang w:val="en-US"/>
          <w14:textFill>
            <w14:solidFill>
              <w14:srgbClr w14:val="000000"/>
            </w14:solidFill>
          </w14:textFill>
        </w:rPr>
        <w:t>The complete device architecture proceeds as follows. A graphene monolayer — grown by chemical vapor deposition on copper foil and transferred to a transparent substrate — serves as the combined epitaxial template, electrostatic stabilizer, and optical confinement layer. SnSe crystals of controlled thickness are deposited by physical vapor deposition at 250</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a temperature fully compatible with back-end-of-line CMOS processing and far below the temperatures required for conventional semiconductor deposition. Hexagonal boron nitride (h-BN) monolayers are deposited over the SnSe active layer, providing hermetic encapsulation without optical absorption at operating wavelengths. The h-BN encapsulation layer also serves as the interlayer separator in the stacked architecture, providing both optical isolation between wavelength channels and environmental protection for each active layer individually.</w:t>
      </w:r>
    </w:p>
    <w:p>
      <w:pPr>
        <w:spacing w:after="160"/>
        <w:jc w:val="both"/>
      </w:pPr>
      <w:r>
        <w:rPr>
          <w:b w:val="0"/>
          <w:bCs w:val="0"/>
          <w:outline w:val="0"/>
          <w:color w:val="000000"/>
          <w:sz w:val="24"/>
          <w:szCs w:val="24"/>
          <w:u w:color="000000"/>
          <w:rtl w:val="0"/>
          <w:lang w:val="en-US"/>
          <w14:textFill>
            <w14:solidFill>
              <w14:srgbClr w14:val="000000"/>
            </w14:solidFill>
          </w14:textFill>
        </w:rPr>
        <w:t>For stacked architectures, we propose a complementary layer pair architecture grounded in the experimentally demonstrated phenomenon of sliding ferroelectricity in van der Waals heterostructures — replacing the arbitrary 80-channel WDM assumption with a physically motivated stacking geometry.</w:t>
      </w:r>
    </w:p>
    <w:p>
      <w:pPr>
        <w:spacing w:after="160"/>
        <w:jc w:val="both"/>
      </w:pPr>
      <w:r>
        <w:rPr>
          <w:b w:val="0"/>
          <w:bCs w:val="0"/>
          <w:outline w:val="0"/>
          <w:color w:val="000000"/>
          <w:sz w:val="24"/>
          <w:szCs w:val="24"/>
          <w:u w:color="000000"/>
          <w:rtl w:val="0"/>
          <w:lang w:val="en-US"/>
          <w14:textFill>
            <w14:solidFill>
              <w14:srgbClr w14:val="000000"/>
            </w14:solidFill>
          </w14:textFill>
        </w:rPr>
        <w:t>Sliding ferroelectricity — confirmed in hexagonal boron nitride, transition metal dichalcogenides including 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de-DE"/>
          <w14:textFill>
            <w14:solidFill>
              <w14:srgbClr w14:val="000000"/>
            </w14:solidFill>
          </w14:textFill>
        </w:rPr>
        <w:t>, WS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it-IT"/>
          <w14:textFill>
            <w14:solidFill>
              <w14:srgbClr w14:val="000000"/>
            </w14:solidFill>
          </w14:textFill>
        </w:rPr>
        <w:t>, MoSe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n-US"/>
          <w14:textFill>
            <w14:solidFill>
              <w14:srgbClr w14:val="000000"/>
            </w14:solidFill>
          </w14:textFill>
        </w:rPr>
        <w:t>, and WSe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nl-NL"/>
          <w14:textFill>
            <w14:solidFill>
              <w14:srgbClr w14:val="000000"/>
            </w14:solidFill>
          </w14:textFill>
        </w:rPr>
        <w:t xml:space="preserve">, and related van der Waals systems </w:t>
      </w:r>
      <w:r>
        <w:rPr>
          <w:b w:val="0"/>
          <w:bCs w:val="0"/>
          <w:outline w:val="0"/>
          <w:color w:val="000000"/>
          <w:sz w:val="24"/>
          <w:szCs w:val="24"/>
          <w:u w:color="000000"/>
          <w:rtl w:val="0"/>
          <w:lang w:val="en-US"/>
          <w14:textFill>
            <w14:solidFill>
              <w14:srgbClr w14:val="000000"/>
            </w14:solidFill>
          </w14:textFill>
        </w:rPr>
        <w:t>— arises when two 2D layers are stacked in a non-centrosymmetric configuration, producing out-of-plane electric polarization switchable by in-plane interlayer sliding. Critically, when a small twist angle is introduced between layers, periodic ferroelectric domains with alternating upward and downward polarization form naturally — creating a Moir</w:t>
      </w:r>
      <w:r>
        <w:rPr>
          <w:b w:val="0"/>
          <w:bCs w:val="0"/>
          <w:outline w:val="0"/>
          <w:color w:val="000000"/>
          <w:sz w:val="24"/>
          <w:szCs w:val="24"/>
          <w:u w:color="000000"/>
          <w:rtl w:val="0"/>
          <w:lang w:val="fr-FR"/>
          <w14:textFill>
            <w14:solidFill>
              <w14:srgbClr w14:val="000000"/>
            </w14:solidFill>
          </w14:textFill>
        </w:rPr>
        <w:t xml:space="preserve">é </w:t>
      </w:r>
      <w:r>
        <w:rPr>
          <w:b w:val="0"/>
          <w:bCs w:val="0"/>
          <w:outline w:val="0"/>
          <w:color w:val="000000"/>
          <w:sz w:val="24"/>
          <w:szCs w:val="24"/>
          <w:u w:color="000000"/>
          <w:rtl w:val="0"/>
          <w:lang w:val="en-US"/>
          <w14:textFill>
            <w14:solidFill>
              <w14:srgbClr w14:val="000000"/>
            </w14:solidFill>
          </w14:textFill>
        </w:rPr>
        <w:t>superlattice with spatially varying polarization sign controlled by the twist angle parameter.</w:t>
      </w:r>
    </w:p>
    <w:p>
      <w:pPr>
        <w:spacing w:after="160"/>
        <w:jc w:val="both"/>
      </w:pPr>
      <w:r>
        <w:rPr>
          <w:b w:val="0"/>
          <w:bCs w:val="0"/>
          <w:outline w:val="0"/>
          <w:color w:val="000000"/>
          <w:sz w:val="24"/>
          <w:szCs w:val="24"/>
          <w:u w:color="000000"/>
          <w:rtl w:val="0"/>
          <w:lang w:val="en-US"/>
          <w14:textFill>
            <w14:solidFill>
              <w14:srgbClr w14:val="000000"/>
            </w14:solidFill>
          </w14:textFill>
        </w:rPr>
        <w:t>The complementary layer pair architecture proposed here exploits this phenomenon directly. Each SnSe layer pair consists of a forward-oriented layer and an inverse-oriented layer — related by 180</w:t>
      </w:r>
      <w:r>
        <w:rPr>
          <w:b w:val="0"/>
          <w:bCs w:val="0"/>
          <w:outline w:val="0"/>
          <w:color w:val="000000"/>
          <w:sz w:val="24"/>
          <w:szCs w:val="24"/>
          <w:u w:color="000000"/>
          <w:rtl w:val="0"/>
          <w:lang w:val="it-IT"/>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rotation of the ferroelectric polarization axis — deposited sequentially with a controlled interlayer twist angle. The forward/inverse orientation relationship is not imposed artificially but emerges from the van der Waals stacking geometry in analogy to the AB/BA domain pairs observed in twisted TMD heterostructures. This architecture has a precise structural analog in semiconductor device engineering: the complementary pair geometry of FinFET transistor stacks, where alternating gate orientations build up vertically while maintaining independent addressability.</w:t>
      </w:r>
    </w:p>
    <w:p>
      <w:pPr>
        <w:spacing w:after="160"/>
        <w:jc w:val="both"/>
      </w:pPr>
      <w:r>
        <w:rPr>
          <w:b w:val="0"/>
          <w:bCs w:val="0"/>
          <w:outline w:val="0"/>
          <w:color w:val="000000"/>
          <w:sz w:val="24"/>
          <w:szCs w:val="24"/>
          <w:u w:color="000000"/>
          <w:rtl w:val="0"/>
          <w:lang w:val="en-US"/>
          <w14:textFill>
            <w14:solidFill>
              <w14:srgbClr w14:val="000000"/>
            </w14:solidFill>
          </w14:textFill>
        </w:rPr>
        <w:t>The critical advantage over arbitrary WDM layer counting is physical: interlayer interaction between complementary pairs is a designed architectural feature rather than an uncontrolled noise source. The twist angle between forward and inverse layers controls the spatial period of the ferroelectric domain network — and therefore controls, rather than merely tolerates, the optical interaction between layers. Independent optical addressability of distinct stacking configurations has been experimentally demonstrated in trilayer 3R-MoS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n-US"/>
          <w14:textFill>
            <w14:solidFill>
              <w14:srgbClr w14:val="000000"/>
            </w14:solidFill>
          </w14:textFill>
        </w:rPr>
        <w:t>, where four distinct stacking configurations — ABC, ABA, BAB, and CBA — are resolvable through reflection contrast spectroscopy.</w:t>
      </w:r>
    </w:p>
    <w:p>
      <w:pPr>
        <w:spacing w:after="160"/>
        <w:jc w:val="both"/>
      </w:pPr>
      <w:r>
        <w:rPr>
          <w:b w:val="0"/>
          <w:bCs w:val="0"/>
          <w:outline w:val="0"/>
          <w:color w:val="000000"/>
          <w:sz w:val="24"/>
          <w:szCs w:val="24"/>
          <w:u w:color="000000"/>
          <w:rtl w:val="0"/>
          <w:lang w:val="en-US"/>
          <w14:textFill>
            <w14:solidFill>
              <w14:srgbClr w14:val="000000"/>
            </w14:solidFill>
          </w14:textFill>
        </w:rPr>
        <w:t>The total stack density therefore scales as:</w:t>
      </w:r>
    </w:p>
    <w:p>
      <w:pPr>
        <w:spacing w:after="160"/>
        <w:jc w:val="both"/>
      </w:pPr>
      <w:r>
        <w:rPr>
          <w:b w:val="0"/>
          <w:bCs w:val="0"/>
          <w:outline w:val="0"/>
          <w:color w:val="000000"/>
          <w:sz w:val="24"/>
          <w:szCs w:val="24"/>
          <w:u w:color="000000"/>
          <w:rtl w:val="0"/>
          <w14:textFill>
            <w14:solidFill>
              <w14:srgbClr w14:val="000000"/>
            </w14:solidFill>
          </w14:textFill>
        </w:rPr>
        <w:t>ρ</w:t>
      </w:r>
      <w:r>
        <w:rPr>
          <w:b w:val="0"/>
          <w:bCs w:val="0"/>
          <w:outline w:val="0"/>
          <w:color w:val="000000"/>
          <w:sz w:val="24"/>
          <w:szCs w:val="24"/>
          <w:u w:color="000000"/>
          <w:rtl w:val="0"/>
          <w:lang w:val="en-US"/>
          <w14:textFill>
            <w14:solidFill>
              <w14:srgbClr w14:val="000000"/>
            </w14:solidFill>
          </w14:textFill>
        </w:rPr>
        <w:t>_stack = 8.22 Gbits/cm</w:t>
      </w:r>
      <w:r>
        <w:rPr>
          <w:b w:val="0"/>
          <w:bCs w:val="0"/>
          <w:outline w:val="0"/>
          <w:color w:val="000000"/>
          <w:sz w:val="24"/>
          <w:szCs w:val="24"/>
          <w:u w:color="000000"/>
          <w:rtl w:val="0"/>
          <w14:textFill>
            <w14:solidFill>
              <w14:srgbClr w14:val="000000"/>
            </w14:solidFill>
          </w14:textFill>
        </w:rPr>
        <w:t xml:space="preserve">² × </w:t>
      </w:r>
      <w:r>
        <w:rPr>
          <w:b w:val="0"/>
          <w:bCs w:val="0"/>
          <w:outline w:val="0"/>
          <w:color w:val="000000"/>
          <w:sz w:val="24"/>
          <w:szCs w:val="24"/>
          <w:u w:color="000000"/>
          <w:rtl w:val="0"/>
          <w:lang w:val="en-US"/>
          <w14:textFill>
            <w14:solidFill>
              <w14:srgbClr w14:val="000000"/>
            </w14:solidFill>
          </w14:textFill>
        </w:rPr>
        <w:t>N pairs</w:t>
      </w:r>
    </w:p>
    <w:p>
      <w:pPr>
        <w:spacing w:after="160"/>
        <w:jc w:val="both"/>
      </w:pPr>
      <w:r>
        <w:rPr>
          <w:b w:val="0"/>
          <w:bCs w:val="0"/>
          <w:outline w:val="0"/>
          <w:color w:val="000000"/>
          <w:sz w:val="24"/>
          <w:szCs w:val="24"/>
          <w:u w:color="000000"/>
          <w:rtl w:val="0"/>
          <w:lang w:val="en-US"/>
          <w14:textFill>
            <w14:solidFill>
              <w14:srgbClr w14:val="000000"/>
            </w14:solidFill>
          </w14:textFill>
        </w:rPr>
        <w:t>Where N is determined by the optical addressing resolution of the specific implementation — the number of independently resolvable complementary layer pairs — rather than by an assumed WDM channel count. This formulation is honest: it states the scaling relationship without asserting a specific N that has not been demonstrated experimentally. The experimental determination of maximum addressable N in an SnSe complementary pair stack is identified as a primary research objective following from this theoretical framework.</w:t>
      </w:r>
    </w:p>
    <w:p>
      <w:pPr>
        <w:spacing w:after="160"/>
        <w:jc w:val="both"/>
      </w:pPr>
      <w:r>
        <w:rPr>
          <w:b w:val="0"/>
          <w:bCs w:val="0"/>
          <w:outline w:val="0"/>
          <w:color w:val="000000"/>
          <w:sz w:val="24"/>
          <w:szCs w:val="24"/>
          <w:u w:color="000000"/>
          <w:rtl w:val="0"/>
          <w:lang w:val="en-US"/>
          <w14:textFill>
            <w14:solidFill>
              <w14:srgbClr w14:val="000000"/>
            </w14:solidFill>
          </w14:textFill>
        </w:rPr>
        <w:t>For context: at N = 8 complementary pairs — a conservative target given demonstrated trilayer addressability — total density reaches 65.8 Gbits/cm</w:t>
      </w:r>
      <w:r>
        <w:rPr>
          <w:b w:val="0"/>
          <w:bCs w:val="0"/>
          <w:outline w:val="0"/>
          <w:color w:val="000000"/>
          <w:sz w:val="24"/>
          <w:szCs w:val="24"/>
          <w:u w:color="000000"/>
          <w:rtl w:val="0"/>
          <w14:textFill>
            <w14:solidFill>
              <w14:srgbClr w14:val="000000"/>
            </w14:solidFill>
          </w14:textFill>
        </w:rPr>
        <w:t>²</w:t>
      </w:r>
      <w:r>
        <w:rPr>
          <w:b w:val="0"/>
          <w:bCs w:val="0"/>
          <w:outline w:val="0"/>
          <w:color w:val="000000"/>
          <w:sz w:val="24"/>
          <w:szCs w:val="24"/>
          <w:u w:color="000000"/>
          <w:rtl w:val="0"/>
          <w:lang w:val="en-US"/>
          <w14:textFill>
            <w14:solidFill>
              <w14:srgbClr w14:val="000000"/>
            </w14:solidFill>
          </w14:textFill>
        </w:rPr>
        <w:t>, exceeding current 3D NAND by approximately 6.6x within a stack thickness of roughly 50nm. At N = 80 pairs — the upper bound suggested by DWDM channel availability — density reaches 657 Gbits/cm</w:t>
      </w:r>
      <w:r>
        <w:rPr>
          <w:b w:val="0"/>
          <w:bCs w:val="0"/>
          <w:outline w:val="0"/>
          <w:color w:val="000000"/>
          <w:sz w:val="24"/>
          <w:szCs w:val="24"/>
          <w:u w:color="000000"/>
          <w:rtl w:val="0"/>
          <w14:textFill>
            <w14:solidFill>
              <w14:srgbClr w14:val="000000"/>
            </w14:solidFill>
          </w14:textFill>
        </w:rPr>
        <w:t>²</w:t>
      </w:r>
      <w:r>
        <w:rPr>
          <w:b w:val="0"/>
          <w:bCs w:val="0"/>
          <w:outline w:val="0"/>
          <w:color w:val="000000"/>
          <w:sz w:val="24"/>
          <w:szCs w:val="24"/>
          <w:u w:color="000000"/>
          <w:rtl w:val="0"/>
          <w:lang w:val="en-US"/>
          <w14:textFill>
            <w14:solidFill>
              <w14:srgbClr w14:val="000000"/>
            </w14:solidFill>
          </w14:textFill>
        </w:rPr>
        <w:t>, approximately 66x current 3D NAND. Both figures use the practical 4.3 bits per cell specification with explicit noise derate.</w:t>
      </w:r>
    </w:p>
    <w:p>
      <w:pPr>
        <w:pStyle w:val="Heading1"/>
        <w:spacing w:before="320" w:after="160"/>
      </w:pPr>
      <w:r>
        <w:rPr>
          <w:rtl w:val="0"/>
          <w:lang w:val="en-US"/>
        </w:rPr>
        <w:t>6. Fabrication Pathway to Wafer-Scale Manufacturing</w:t>
      </w:r>
    </w:p>
    <w:p>
      <w:pPr>
        <w:spacing w:after="160"/>
        <w:jc w:val="both"/>
      </w:pPr>
      <w:r>
        <w:rPr>
          <w:b w:val="0"/>
          <w:bCs w:val="0"/>
          <w:outline w:val="0"/>
          <w:color w:val="000000"/>
          <w:sz w:val="24"/>
          <w:szCs w:val="24"/>
          <w:u w:color="000000"/>
          <w:rtl w:val="0"/>
          <w:lang w:val="en-US"/>
          <w14:textFill>
            <w14:solidFill>
              <w14:srgbClr w14:val="000000"/>
            </w14:solidFill>
          </w14:textFill>
        </w:rPr>
        <w:t>The fabrication pathway for SnSe photonic memristors at wafer scale is composed entirely of demonstrated laboratory techniques. No step in the proposed process requires new physics or materials unavailable today. More significantly — and this is the central argument of this section — the critical materials and process steps required are already present in existing silicon semiconductor fabrication infrastructure. The path to the new is shorter than it appears.</w:t>
      </w:r>
    </w:p>
    <w:p>
      <w:pPr>
        <w:spacing w:after="160"/>
        <w:jc w:val="both"/>
      </w:pPr>
      <w:r>
        <w:rPr>
          <w:b w:val="0"/>
          <w:bCs w:val="0"/>
          <w:outline w:val="0"/>
          <w:color w:val="000000"/>
          <w:sz w:val="24"/>
          <w:szCs w:val="24"/>
          <w:u w:color="000000"/>
          <w:rtl w:val="0"/>
          <w:lang w:val="en-US"/>
          <w14:textFill>
            <w14:solidFill>
              <w14:srgbClr w14:val="000000"/>
            </w14:solidFill>
          </w14:textFill>
        </w:rPr>
        <w:t>Physical vapor deposition of SnSe at 250</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has been demonstrated on silicon substrates with full CMOS back-end-of-line compatibility. This is a critical distinction from halide perovskite solar cell fabrication, which typically requires elevated temperatures or specialized precursors: SnSe deposition is a mature process in the thermoelectric device literature, adapted here to a new application.</w:t>
      </w:r>
    </w:p>
    <w:p>
      <w:pPr>
        <w:spacing w:after="160"/>
        <w:jc w:val="both"/>
      </w:pPr>
      <w:r>
        <w:rPr>
          <w:b w:val="0"/>
          <w:bCs w:val="0"/>
          <w:outline w:val="0"/>
          <w:color w:val="000000"/>
          <w:sz w:val="24"/>
          <w:szCs w:val="24"/>
          <w:u w:color="000000"/>
          <w:rtl w:val="0"/>
          <w:lang w:val="en-US"/>
          <w14:textFill>
            <w14:solidFill>
              <w14:srgbClr w14:val="000000"/>
            </w14:solidFill>
          </w14:textFill>
        </w:rPr>
        <w:t>Graphene growth by chemical vapor deposition on copper foil and transfer to arbitrary substrates is a commodity process. Large-area monolayer graphene is commercially available, and transfer techniques producing continuous films over square-centimeter areas are established. The graphene layer in the photonic memristor stack adds no process complexity that is not already solved.</w:t>
      </w:r>
    </w:p>
    <w:p>
      <w:pPr>
        <w:spacing w:after="160"/>
        <w:jc w:val="both"/>
      </w:pPr>
      <w:r>
        <w:rPr>
          <w:b w:val="0"/>
          <w:bCs w:val="0"/>
          <w:outline w:val="0"/>
          <w:color w:val="000000"/>
          <w:sz w:val="24"/>
          <w:szCs w:val="24"/>
          <w:u w:color="000000"/>
          <w:rtl w:val="0"/>
          <w:lang w:val="en-US"/>
          <w14:textFill>
            <w14:solidFill>
              <w14:srgbClr w14:val="000000"/>
            </w14:solidFill>
          </w14:textFill>
        </w:rPr>
        <w:t>Hexagonal boron nitride encapsulation by van der Waals transfer is similarly established for 2D material device fabrication. h-BN has been demonstrated as an effective moisture barrier for 2D device encapsulation, providing stability improvements of orders of magnitude over unencapsulated devices without introducing optical absorption at telecom wavelengths.</w:t>
      </w:r>
    </w:p>
    <w:p>
      <w:pPr>
        <w:spacing w:after="160"/>
        <w:jc w:val="both"/>
      </w:pPr>
      <w:r>
        <w:rPr>
          <w:b w:val="0"/>
          <w:bCs w:val="0"/>
          <w:outline w:val="0"/>
          <w:color w:val="000000"/>
          <w:sz w:val="24"/>
          <w:szCs w:val="24"/>
          <w:u w:color="000000"/>
          <w:rtl w:val="0"/>
          <w:lang w:val="en-US"/>
          <w14:textFill>
            <w14:solidFill>
              <w14:srgbClr w14:val="000000"/>
            </w14:solidFill>
          </w14:textFill>
        </w:rPr>
        <w:t>Integration with silicon photonic waveguide infrastructure proceeds through evanescent coupling. The SnSe active layer is deposited within gap regions of silicon-on-insulator (SOI) waveguides, where the evanescent field of the guided optical mode extends into the SnSe crystal and accumulates polarization-dependent phase shift proportional to the crystal's ferroelectric state. This integration geometry — demonstrated for GST-based photonic memory — is transferable directly to SnSe with adjustment of coupling length to account for SnSe's different refractive index.</w:t>
      </w:r>
    </w:p>
    <w:p>
      <w:pPr>
        <w:spacing w:after="160"/>
        <w:jc w:val="both"/>
      </w:pPr>
      <w:r>
        <w:rPr>
          <w:b w:val="0"/>
          <w:bCs w:val="0"/>
          <w:outline w:val="0"/>
          <w:color w:val="000000"/>
          <w:sz w:val="24"/>
          <w:szCs w:val="24"/>
          <w:u w:color="000000"/>
          <w:rtl w:val="0"/>
          <w:lang w:val="en-US"/>
          <w14:textFill>
            <w14:solidFill>
              <w14:srgbClr w14:val="000000"/>
            </w14:solidFill>
          </w14:textFill>
        </w:rPr>
        <w:t>The wafer-scale uniformity challenge — producing SnSe layers of controlled thickness and composition across 300mm wafers — is an engineering problem within the scope of existing semiconductor process development, not a physics problem. The precedent of transition metal dichalcogenide (TMD) wafer-scale growth by atmospheric-pressure CVD, demonstrated for 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and WS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n-US"/>
          <w14:textFill>
            <w14:solidFill>
              <w14:srgbClr w14:val="000000"/>
            </w14:solidFill>
          </w14:textFill>
        </w:rPr>
        <w:t>, provides a development roadmap.</w:t>
      </w:r>
    </w:p>
    <w:p>
      <w:pPr>
        <w:pStyle w:val="Heading1"/>
        <w:spacing w:before="320" w:after="160"/>
      </w:pPr>
      <w:r>
        <w:rPr>
          <w:rtl w:val="0"/>
          <w:lang w:val="en-US"/>
        </w:rPr>
        <w:t>7. Antimony as the Preferred Dopant: Leveraging Existing Semiconductor Infrastructure</w:t>
      </w:r>
    </w:p>
    <w:p>
      <w:pPr>
        <w:spacing w:after="160"/>
        <w:jc w:val="both"/>
      </w:pPr>
      <w:r>
        <w:rPr>
          <w:b w:val="0"/>
          <w:bCs w:val="0"/>
          <w:outline w:val="0"/>
          <w:color w:val="000000"/>
          <w:sz w:val="24"/>
          <w:szCs w:val="24"/>
          <w:u w:color="000000"/>
          <w:rtl w:val="0"/>
          <w:lang w:val="en-US"/>
          <w14:textFill>
            <w14:solidFill>
              <w14:srgbClr w14:val="000000"/>
            </w14:solidFill>
          </w14:textFill>
        </w:rPr>
        <w:t>The ferroelectric switching symmetry of pure SnSe — the equality of switching threshold in both polarization directions — benefits from substitutional doping at the tin lattice site. Prior experimental work has demonstrated this using bismuth (Bi) as the dopant, producing Sn</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₁₋</w:t>
      </w:r>
      <w:r>
        <w:rPr>
          <w:b w:val="0"/>
          <w:bCs w:val="0"/>
          <w:outline w:val="0"/>
          <w:color w:val="000000"/>
          <w:sz w:val="24"/>
          <w:szCs w:val="24"/>
          <w:u w:color="000000"/>
          <w:rtl w:val="0"/>
          <w14:textFill>
            <w14:solidFill>
              <w14:srgbClr w14:val="000000"/>
            </w14:solidFill>
          </w14:textFill>
        </w:rPr>
        <w:t>ₓ</w:t>
      </w:r>
      <w:r>
        <w:rPr>
          <w:b w:val="0"/>
          <w:bCs w:val="0"/>
          <w:outline w:val="0"/>
          <w:color w:val="000000"/>
          <w:sz w:val="24"/>
          <w:szCs w:val="24"/>
          <w:u w:color="000000"/>
          <w:rtl w:val="0"/>
          <w:lang w:val="en-US"/>
          <w14:textFill>
            <w14:solidFill>
              <w14:srgbClr w14:val="000000"/>
            </w14:solidFill>
          </w14:textFill>
        </w:rPr>
        <w:t xml:space="preserve">BixSe with symmetric coercive voltage of </w:t>
      </w:r>
      <w:r>
        <w:rPr>
          <w:b w:val="0"/>
          <w:bCs w:val="0"/>
          <w:outline w:val="0"/>
          <w:color w:val="000000"/>
          <w:sz w:val="24"/>
          <w:szCs w:val="24"/>
          <w:u w:color="000000"/>
          <w:rtl w:val="1"/>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2.4V. However, bismuth presents a decisive manufacturing barrier: its melting point of 271</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is above the 250</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SnSe physical vapor deposition temperature. Bismuth is effectively liquid during SnSe deposition. It cannot maintain a controlled substitutional doping profile — it migrates through the crystal, producing non-uniform coercive voltage across the device area and unpredictable switching behavior. This is not merely a theoretical concern, but reflects a strong thermodynamic driving force for dopant migration, making controlled wafer-scale doping impractical despite bismuth</w:t>
      </w:r>
      <w:r>
        <w:rPr>
          <w:b w:val="0"/>
          <w:bCs w:val="0"/>
          <w:outline w:val="0"/>
          <w:color w:val="000000"/>
          <w:sz w:val="24"/>
          <w:szCs w:val="24"/>
          <w:u w:color="000000"/>
          <w:rtl w:val="1"/>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 xml:space="preserve">s otherwise favorable electronic properties. </w:t>
      </w:r>
    </w:p>
    <w:p>
      <w:pPr>
        <w:spacing w:after="160"/>
        <w:jc w:val="both"/>
      </w:pPr>
      <w:r>
        <w:rPr>
          <w:b w:val="0"/>
          <w:bCs w:val="0"/>
          <w:outline w:val="0"/>
          <w:color w:val="000000"/>
          <w:sz w:val="24"/>
          <w:szCs w:val="24"/>
          <w:u w:color="000000"/>
          <w:rtl w:val="0"/>
          <w:lang w:val="en-US"/>
          <w14:textFill>
            <w14:solidFill>
              <w14:srgbClr w14:val="000000"/>
            </w14:solidFill>
          </w14:textFill>
        </w:rPr>
        <w:t>We propose antimony (Sb) as the preferred substitutional dopant for wafer-scale photonic memristor fabrication. The argument proceeds on four independent grounds.</w:t>
      </w:r>
    </w:p>
    <w:p>
      <w:pPr>
        <w:spacing w:after="160"/>
        <w:jc w:val="both"/>
      </w:pPr>
      <w:r>
        <w:rPr>
          <w:b w:val="0"/>
          <w:bCs w:val="0"/>
          <w:outline w:val="0"/>
          <w:color w:val="000000"/>
          <w:sz w:val="24"/>
          <w:szCs w:val="24"/>
          <w:u w:color="000000"/>
          <w:rtl w:val="0"/>
          <w:lang w:val="en-US"/>
          <w14:textFill>
            <w14:solidFill>
              <w14:srgbClr w14:val="000000"/>
            </w14:solidFill>
          </w14:textFill>
        </w:rPr>
        <w:t>First, antimony is a group 15 element identical in valence electron count to bismuth. The ferroelectric symmetrization mechanism — extra valence electron modifying the local electrostatic environment at the tin substitution site — operates identically for antimony as for bismuth. The physics of dopant action is preserved. This is the same NPN-gate-like mechanism by which a minority carrier layer controls switching directionality: the dopant electron count, not its size, governs the symmetrization effect.</w:t>
      </w:r>
    </w:p>
    <w:p>
      <w:pPr>
        <w:spacing w:after="160"/>
        <w:jc w:val="both"/>
      </w:pPr>
      <w:r>
        <w:rPr>
          <w:b w:val="0"/>
          <w:bCs w:val="0"/>
          <w:outline w:val="0"/>
          <w:color w:val="000000"/>
          <w:sz w:val="24"/>
          <w:szCs w:val="24"/>
          <w:u w:color="000000"/>
          <w:rtl w:val="0"/>
          <w:lang w:val="en-US"/>
          <w14:textFill>
            <w14:solidFill>
              <w14:srgbClr w14:val="000000"/>
            </w14:solidFill>
          </w14:textFill>
        </w:rPr>
        <w:t>Second, antimony's melting point is 631</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14:textFill>
            <w14:solidFill>
              <w14:srgbClr w14:val="000000"/>
            </w14:solidFill>
          </w14:textFill>
        </w:rPr>
        <w:t xml:space="preserve">C </w:t>
      </w:r>
      <w:r>
        <w:rPr>
          <w:b w:val="0"/>
          <w:bCs w:val="0"/>
          <w:outline w:val="0"/>
          <w:color w:val="000000"/>
          <w:sz w:val="24"/>
          <w:szCs w:val="24"/>
          <w:u w:color="000000"/>
          <w:rtl w:val="0"/>
          <w:lang w:val="en-US"/>
          <w14:textFill>
            <w14:solidFill>
              <w14:srgbClr w14:val="000000"/>
            </w14:solidFill>
          </w14:textFill>
        </w:rPr>
        <w:t xml:space="preserve">— </w:t>
      </w:r>
      <w:r>
        <w:rPr>
          <w:b w:val="0"/>
          <w:bCs w:val="0"/>
          <w:outline w:val="0"/>
          <w:color w:val="000000"/>
          <w:sz w:val="24"/>
          <w:szCs w:val="24"/>
          <w:u w:color="000000"/>
          <w:rtl w:val="0"/>
          <w14:textFill>
            <w14:solidFill>
              <w14:srgbClr w14:val="000000"/>
            </w14:solidFill>
          </w14:textFill>
        </w:rPr>
        <w:t>381</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above the SnSe deposition temperature. Antimony remains solid with large thermal margin during deposition, enabling controlled, reproducible doping concentration profiles and uniform coercive voltage across the device area. This is the decisive manufacturing advantage.</w:t>
      </w:r>
    </w:p>
    <w:p>
      <w:pPr>
        <w:spacing w:after="160"/>
        <w:jc w:val="both"/>
      </w:pPr>
      <w:r>
        <w:rPr>
          <w:b w:val="0"/>
          <w:bCs w:val="0"/>
          <w:outline w:val="0"/>
          <w:color w:val="000000"/>
          <w:sz w:val="24"/>
          <w:szCs w:val="24"/>
          <w:u w:color="000000"/>
          <w:rtl w:val="0"/>
          <w:lang w:val="en-US"/>
          <w14:textFill>
            <w14:solidFill>
              <w14:srgbClr w14:val="000000"/>
            </w14:solidFill>
          </w14:textFill>
        </w:rPr>
        <w:t>Third, and critically: antimony-selenium chemistry has been thoroughly validated at commercial scale in photovoltaic device manufacturing.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and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s-ES_tradnl"/>
          <w14:textFill>
            <w14:solidFill>
              <w14:srgbClr w14:val="000000"/>
            </w14:solidFill>
          </w14:textFill>
        </w:rPr>
        <w:t>(S,Se)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are established solar cell absorber materials with tunable band gaps, extensively characterized optical constants, and documented deposition processes. The antimony-selenium bond chemistry — its stability, its defect behavior, its interface properties — has been solved by the photovoltaic research community. This is not analogous chemistry. It is the same chemistry adapted to a different device architecture. The photovoltaic literature provides a complete materials science foundation for Sb-Se crystal growth that would take years to develop from scratch for bismuth. The path to Sn</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₁₋</w:t>
      </w:r>
      <w:r>
        <w:rPr>
          <w:b w:val="0"/>
          <w:bCs w:val="0"/>
          <w:outline w:val="0"/>
          <w:color w:val="000000"/>
          <w:sz w:val="24"/>
          <w:szCs w:val="24"/>
          <w:u w:color="000000"/>
          <w:rtl w:val="0"/>
          <w14:textFill>
            <w14:solidFill>
              <w14:srgbClr w14:val="000000"/>
            </w14:solidFill>
          </w14:textFill>
        </w:rPr>
        <w:t>ₓSbₓ</w:t>
      </w:r>
      <w:r>
        <w:rPr>
          <w:b w:val="0"/>
          <w:bCs w:val="0"/>
          <w:outline w:val="0"/>
          <w:color w:val="000000"/>
          <w:sz w:val="24"/>
          <w:szCs w:val="24"/>
          <w:u w:color="000000"/>
          <w:rtl w:val="0"/>
          <w:lang w:val="en-US"/>
          <w14:textFill>
            <w14:solidFill>
              <w14:srgbClr w14:val="000000"/>
            </w14:solidFill>
          </w14:textFill>
        </w:rPr>
        <w:t>Se is shorter because the Sb-Se research infrastructure already exists.</w:t>
      </w:r>
    </w:p>
    <w:p>
      <w:pPr>
        <w:spacing w:after="160"/>
        <w:jc w:val="both"/>
      </w:pPr>
      <w:r>
        <w:rPr>
          <w:b w:val="0"/>
          <w:bCs w:val="0"/>
          <w:outline w:val="0"/>
          <w:color w:val="000000"/>
          <w:sz w:val="24"/>
          <w:szCs w:val="24"/>
          <w:u w:color="000000"/>
          <w:rtl w:val="0"/>
          <w:lang w:val="en-US"/>
          <w14:textFill>
            <w14:solidFill>
              <w14:srgbClr w14:val="000000"/>
            </w14:solidFill>
          </w14:textFill>
        </w:rPr>
        <w:t>This point deserves emphasis because it identifies why photonic memristor research has not previously converged on antimony-doped SnSe: the ferroelectric switching community and the photovoltaic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community have operated in parallel without cross-referencing each other's material characterization. The answer to the dopant selection problem was sitting in a different literature the entire time.</w:t>
      </w:r>
    </w:p>
    <w:p>
      <w:pPr>
        <w:spacing w:after="160"/>
        <w:jc w:val="both"/>
      </w:pPr>
      <w:r>
        <w:rPr>
          <w:b w:val="0"/>
          <w:bCs w:val="0"/>
          <w:outline w:val="0"/>
          <w:color w:val="000000"/>
          <w:sz w:val="24"/>
          <w:szCs w:val="24"/>
          <w:u w:color="000000"/>
          <w:rtl w:val="0"/>
          <w:lang w:val="en-US"/>
          <w14:textFill>
            <w14:solidFill>
              <w14:srgbClr w14:val="000000"/>
            </w14:solidFill>
          </w14:textFill>
        </w:rPr>
        <w:t>Fourth, antimony doping of silicon is a standard, established process in semiconductor manufacturing. Every fab producing n-type silicon already handles antimony. Safety protocols are written. Equipment is calibrated. Supply chain is qualified to semiconductor grade purity. Transitioning from silicon antimony doping to SnSe antimony doping requires process adaptation — not infrastructure construction.</w:t>
      </w:r>
    </w:p>
    <w:p>
      <w:pPr>
        <w:spacing w:after="160"/>
        <w:jc w:val="both"/>
      </w:pPr>
      <w:r>
        <w:rPr>
          <w:b w:val="0"/>
          <w:bCs w:val="0"/>
          <w:outline w:val="0"/>
          <w:color w:val="000000"/>
          <w:sz w:val="24"/>
          <w:szCs w:val="24"/>
          <w:u w:color="000000"/>
          <w:rtl w:val="0"/>
          <w:lang w:val="en-US"/>
          <w14:textFill>
            <w14:solidFill>
              <w14:srgbClr w14:val="000000"/>
            </w14:solidFill>
          </w14:textFill>
        </w:rPr>
        <w:t>We propose Sn</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₁₋</w:t>
      </w:r>
      <w:r>
        <w:rPr>
          <w:b w:val="0"/>
          <w:bCs w:val="0"/>
          <w:outline w:val="0"/>
          <w:color w:val="000000"/>
          <w:sz w:val="24"/>
          <w:szCs w:val="24"/>
          <w:u w:color="000000"/>
          <w:rtl w:val="0"/>
          <w14:textFill>
            <w14:solidFill>
              <w14:srgbClr w14:val="000000"/>
            </w14:solidFill>
          </w14:textFill>
        </w:rPr>
        <w:t>ₓSbₓ</w:t>
      </w:r>
      <w:r>
        <w:rPr>
          <w:b w:val="0"/>
          <w:bCs w:val="0"/>
          <w:outline w:val="0"/>
          <w:color w:val="000000"/>
          <w:sz w:val="24"/>
          <w:szCs w:val="24"/>
          <w:u w:color="000000"/>
          <w:rtl w:val="0"/>
          <w:lang w:val="en-US"/>
          <w14:textFill>
            <w14:solidFill>
              <w14:srgbClr w14:val="000000"/>
            </w14:solidFill>
          </w14:textFill>
        </w:rPr>
        <w:t>Se as the preferred active layer composition for photonic memristor fabrication. The specific testable predictions that follow from first-principles calculation are: coercive voltage within 30% of Bi-doped SnSe at equivalent thickness (identical group 15 valence mechanism); uniform doping profile confirmed by SIMS depth profiling (thermodynamic stability during deposition); switching speed 1.31x faster than Bi-doped at equivalent applied field (phonon mass effect, m_Sb/m_Bi = 0.58); and improved endurance from uniform doping profile reducing defect accumulation over cycling. Each prediction is falsifiable by standard characterization techniques available in any ferroelectric device laboratory.</w:t>
      </w:r>
    </w:p>
    <w:p>
      <w:pPr>
        <w:pStyle w:val="Heading1"/>
        <w:spacing w:before="320" w:after="160"/>
      </w:pPr>
      <w:r>
        <w:rPr>
          <w:rtl w:val="0"/>
          <w:lang w:val="en-US"/>
        </w:rPr>
        <w:t>8. Computational Architecture and Implications</w:t>
      </w:r>
    </w:p>
    <w:p>
      <w:pPr>
        <w:spacing w:after="160"/>
        <w:jc w:val="both"/>
      </w:pPr>
      <w:r>
        <w:rPr>
          <w:b w:val="0"/>
          <w:bCs w:val="0"/>
          <w:outline w:val="0"/>
          <w:color w:val="000000"/>
          <w:sz w:val="24"/>
          <w:szCs w:val="24"/>
          <w:u w:color="000000"/>
          <w:rtl w:val="0"/>
          <w:lang w:val="en-US"/>
          <w14:textFill>
            <w14:solidFill>
              <w14:srgbClr w14:val="000000"/>
            </w14:solidFill>
          </w14:textFill>
        </w:rPr>
        <w:t>The photonic memristor architecture proposed here implies a computational model that departs fundamentally from both conventional digital computing and existing neuromorphic proposals.</w:t>
      </w:r>
    </w:p>
    <w:p>
      <w:pPr>
        <w:spacing w:after="160"/>
        <w:jc w:val="both"/>
      </w:pPr>
      <w:r>
        <w:rPr>
          <w:b w:val="0"/>
          <w:bCs w:val="0"/>
          <w:outline w:val="0"/>
          <w:color w:val="000000"/>
          <w:sz w:val="24"/>
          <w:szCs w:val="24"/>
          <w:u w:color="000000"/>
          <w:rtl w:val="0"/>
          <w:lang w:val="en-US"/>
          <w14:textFill>
            <w14:solidFill>
              <w14:srgbClr w14:val="000000"/>
            </w14:solidFill>
          </w14:textFill>
        </w:rPr>
        <w:t xml:space="preserve">Memory and compute are not separated. In a conventional computer, data must be transferred from memory to processor, operated upon, and written back. The energy and latency cost of this transfer — </w:t>
      </w:r>
      <w:r>
        <w:rPr>
          <w:b w:val="0"/>
          <w:bCs w:val="0"/>
          <w:outline w:val="0"/>
          <w:color w:val="000000"/>
          <w:sz w:val="24"/>
          <w:szCs w:val="24"/>
          <w:u w:color="000000"/>
          <w:rtl w:val="0"/>
          <w:lang w:val="de-DE"/>
          <w14:textFill>
            <w14:solidFill>
              <w14:srgbClr w14:val="000000"/>
            </w14:solidFill>
          </w14:textFill>
        </w:rPr>
        <w:t xml:space="preserve">the von Neumann bottleneck </w:t>
      </w:r>
      <w:r>
        <w:rPr>
          <w:b w:val="0"/>
          <w:bCs w:val="0"/>
          <w:outline w:val="0"/>
          <w:color w:val="000000"/>
          <w:sz w:val="24"/>
          <w:szCs w:val="24"/>
          <w:u w:color="000000"/>
          <w:rtl w:val="0"/>
          <w:lang w:val="en-US"/>
          <w14:textFill>
            <w14:solidFill>
              <w14:srgbClr w14:val="000000"/>
            </w14:solidFill>
          </w14:textFill>
        </w:rPr>
        <w:t>— dominates system performance at scale. In the photonic memristor architecture, the optical state of the active layer is simultaneously the stored value and the computational operator. An optical pulse interrogating a memristor array does not read a stored value and then compute — it computes by reading. Matrix-vector multiplication, the fundamental operation of neural network inference, is performed by passing a modulated optical beam through a memristor array and reading the interference pattern. No data movement. No memory bus. No bottleneck.</w:t>
      </w:r>
    </w:p>
    <w:p>
      <w:pPr>
        <w:spacing w:after="160"/>
        <w:jc w:val="both"/>
      </w:pPr>
      <w:r>
        <w:rPr>
          <w:b w:val="0"/>
          <w:bCs w:val="0"/>
          <w:outline w:val="0"/>
          <w:color w:val="000000"/>
          <w:sz w:val="24"/>
          <w:szCs w:val="24"/>
          <w:u w:color="000000"/>
          <w:rtl w:val="0"/>
          <w:lang w:val="en-US"/>
          <w14:textFill>
            <w14:solidFill>
              <w14:srgbClr w14:val="000000"/>
            </w14:solidFill>
          </w14:textFill>
        </w:rPr>
        <w:t>Computation is continuous, not binary. Electronic logic operates on voltage thresholds that enforce binary state. The photonic memristor operates on optical phase and polarization — continuous variables. A single SnSe photonic memristor cell stores a practical 4.3 bits per cell at conservatively derated operating conditions — still exceeding the 3-bit TLC NAND ceiling — with theoretical upper bounds of 7.64 bits per cell from the measured extinction ratio and 23.6 bits per cell from the angle-modulated configuration. This analog depth maps directly to neural network weight precision, reducing quantization error relative to electronic neuromorphic approaches.</w:t>
      </w:r>
    </w:p>
    <w:p>
      <w:pPr>
        <w:spacing w:after="160"/>
        <w:jc w:val="both"/>
      </w:pPr>
      <w:r>
        <w:rPr>
          <w:b w:val="0"/>
          <w:bCs w:val="0"/>
          <w:outline w:val="0"/>
          <w:color w:val="000000"/>
          <w:sz w:val="24"/>
          <w:szCs w:val="24"/>
          <w:u w:color="000000"/>
          <w:rtl w:val="0"/>
          <w:lang w:val="en-US"/>
          <w14:textFill>
            <w14:solidFill>
              <w14:srgbClr w14:val="000000"/>
            </w14:solidFill>
          </w14:textFill>
        </w:rPr>
        <w:t>The architecture is thermodynamically favorable. Photon propagation through a waveguide exhibits negligible intrinsic dissipation relative to electronic transport losses. An array of photonic memristors performing matrix</w:t>
      </w:r>
      <w:r>
        <w:rPr>
          <w:b w:val="0"/>
          <w:bCs w:val="0"/>
          <w:outline w:val="0"/>
          <w:color w:val="000000"/>
          <w:sz w:val="24"/>
          <w:szCs w:val="24"/>
          <w:u w:color="000000"/>
          <w:rtl w:val="0"/>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vector multiplication primarily consumes energy for optical pulse generation and detector readout, with minimal additional dissipation in the computational medium itself. This contrasts with electronic neuromorphic architectures, where resistive elements continuously dissipate power proportional to their conductance state.</w:t>
      </w:r>
    </w:p>
    <w:p>
      <w:pPr>
        <w:spacing w:after="160"/>
        <w:jc w:val="both"/>
      </w:pPr>
      <w:r>
        <w:rPr>
          <w:b w:val="0"/>
          <w:bCs w:val="0"/>
          <w:outline w:val="0"/>
          <w:color w:val="000000"/>
          <w:sz w:val="24"/>
          <w:szCs w:val="24"/>
          <w:u w:color="000000"/>
          <w:rtl w:val="0"/>
          <w:lang w:val="en-US"/>
          <w14:textFill>
            <w14:solidFill>
              <w14:srgbClr w14:val="000000"/>
            </w14:solidFill>
          </w14:textFill>
        </w:rPr>
        <w:t>Density and throughput scale together. In conventional memory architectures, higher storage density requires more data movement per operation. In the photonic memristor stack, higher density means more computation per optical pulse — the two metrics are positively correlated rather than in tension.</w:t>
      </w:r>
    </w:p>
    <w:p>
      <w:pPr>
        <w:pStyle w:val="Heading1"/>
        <w:spacing w:before="320" w:after="160"/>
      </w:pPr>
      <w:r>
        <w:rPr>
          <w:rtl w:val="0"/>
          <w:lang w:val="en-US"/>
        </w:rPr>
        <w:t>9. Limitations and Open Challenges</w:t>
      </w:r>
    </w:p>
    <w:p>
      <w:pPr>
        <w:spacing w:after="160"/>
        <w:jc w:val="both"/>
      </w:pPr>
      <w:r>
        <w:rPr>
          <w:b w:val="0"/>
          <w:bCs w:val="0"/>
          <w:outline w:val="0"/>
          <w:color w:val="000000"/>
          <w:sz w:val="24"/>
          <w:szCs w:val="24"/>
          <w:u w:color="000000"/>
          <w:rtl w:val="0"/>
          <w:lang w:val="en-US"/>
          <w14:textFill>
            <w14:solidFill>
              <w14:srgbClr w14:val="000000"/>
            </w14:solidFill>
          </w14:textFill>
        </w:rPr>
        <w:t>The photonic memristor architecture proposed in this work is theoretically grounded and experimentally supported at the component level. However, honest assessment requires explicit acknowledgment of the engineering challenges that must be resolved before the unified architecture can be demonstrated.</w:t>
      </w:r>
    </w:p>
    <w:p>
      <w:pPr>
        <w:spacing w:after="160"/>
        <w:jc w:val="both"/>
      </w:pPr>
      <w:r>
        <w:rPr>
          <w:b w:val="0"/>
          <w:bCs w:val="0"/>
          <w:outline w:val="0"/>
          <w:color w:val="000000"/>
          <w:sz w:val="24"/>
          <w:szCs w:val="24"/>
          <w:u w:color="000000"/>
          <w:rtl w:val="0"/>
          <w:lang w:val="en-US"/>
          <w14:textFill>
            <w14:solidFill>
              <w14:srgbClr w14:val="000000"/>
            </w14:solidFill>
          </w14:textFill>
        </w:rPr>
        <w:t>Endurance. Current demonstrations of SnSe-based ferroelectric memristive devices report endurance of approximately 10</w:t>
      </w:r>
      <w:r>
        <w:rPr>
          <w:b w:val="0"/>
          <w:bCs w:val="0"/>
          <w:outline w:val="0"/>
          <w:color w:val="000000"/>
          <w:sz w:val="24"/>
          <w:szCs w:val="24"/>
          <w:u w:color="000000"/>
          <w:rtl w:val="0"/>
          <w14:textFill>
            <w14:solidFill>
              <w14:srgbClr w14:val="000000"/>
            </w14:solidFill>
          </w14:textFill>
        </w:rPr>
        <w:t xml:space="preserve">³ </w:t>
      </w:r>
      <w:r>
        <w:rPr>
          <w:b w:val="0"/>
          <w:bCs w:val="0"/>
          <w:outline w:val="0"/>
          <w:color w:val="000000"/>
          <w:sz w:val="24"/>
          <w:szCs w:val="24"/>
          <w:u w:color="000000"/>
          <w:rtl w:val="0"/>
          <w:lang w:val="en-US"/>
          <w14:textFill>
            <w14:solidFill>
              <w14:srgbClr w14:val="000000"/>
            </w14:solidFill>
          </w14:textFill>
        </w:rPr>
        <w:t>switching cycles. Commercial NAND flash endures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⁴</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it-IT"/>
          <w14:textFill>
            <w14:solidFill>
              <w14:srgbClr w14:val="000000"/>
            </w14:solidFill>
          </w14:textFill>
        </w:rPr>
        <w:t>to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⁵</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cycles; enterprise applications require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⁶</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or more. The endurance limitation in SnSe devices arises from surface oxidation and interlayer degradation — both of which are addressed, but not yet fully solved, by h-BN encapsulation. This is identified as an engineering challenge within the scope of materials passivation and encapsulation development, not a fundamental physics barrier. The ferroelectric switching mechanism itself imposes no thermodynamic limit on endurance; the challenge is environmental stability of the crystal surface, which does not degrade the switching mechanism but introduces defects over repeated cycles. We consider endurance improvement the primary near-term experimental priority for this architecture.</w:t>
      </w:r>
    </w:p>
    <w:p>
      <w:pPr>
        <w:spacing w:after="160"/>
        <w:jc w:val="both"/>
      </w:pPr>
      <w:r>
        <w:rPr>
          <w:b w:val="0"/>
          <w:bCs w:val="0"/>
          <w:outline w:val="0"/>
          <w:color w:val="000000"/>
          <w:sz w:val="24"/>
          <w:szCs w:val="24"/>
          <w:u w:color="000000"/>
          <w:rtl w:val="0"/>
          <w:lang w:val="en-US"/>
          <w14:textFill>
            <w14:solidFill>
              <w14:srgbClr w14:val="000000"/>
            </w14:solidFill>
          </w14:textFill>
        </w:rPr>
        <w:t>Wafer-scale uniformity. Ferroelectric switching has been demonstrated in SnSe at the single-crystal level. Producing uniform ferroelectric response across wafer-scale polycrystalline SnSe films — where grain boundaries interrupt domain continuity — requires grain size engineering comparable to that developed for polycrystalline silicon in display and solar cell applications. This is a solved problem class applied to a new material system.</w:t>
      </w:r>
    </w:p>
    <w:p>
      <w:pPr>
        <w:spacing w:after="160"/>
        <w:jc w:val="both"/>
      </w:pPr>
      <w:r>
        <w:rPr>
          <w:b w:val="0"/>
          <w:bCs w:val="0"/>
          <w:outline w:val="0"/>
          <w:color w:val="000000"/>
          <w:sz w:val="24"/>
          <w:szCs w:val="24"/>
          <w:u w:color="000000"/>
          <w:rtl w:val="0"/>
          <w:lang w:val="en-US"/>
          <w14:textFill>
            <w14:solidFill>
              <w14:srgbClr w14:val="000000"/>
            </w14:solidFill>
          </w14:textFill>
        </w:rPr>
        <w:t>Complementary layer pair addressability. The proposed complementary layer pair stacking architecture — forward and inverse ferroelectric orientation layers addressed independently through controlled twist angle and optical interrogation — has not been demonstrated as a complete system in SnSe. The physical basis is grounded in experimentally demonstrated sliding ferroelectricity in van der Waals heterostructures, and independent optical addressability of four distinct stacking configurations has been demonstrated in trilayer 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n-US"/>
          <w14:textFill>
            <w14:solidFill>
              <w14:srgbClr w14:val="000000"/>
            </w14:solidFill>
          </w14:textFill>
        </w:rPr>
        <w:t xml:space="preserve">. Extension to SnSe complementary pairs and determination of maximum addressable N are the primary experimental contributions invited by this work. The density scaling formula </w:t>
      </w:r>
      <w:r>
        <w:rPr>
          <w:b w:val="0"/>
          <w:bCs w:val="0"/>
          <w:outline w:val="0"/>
          <w:color w:val="000000"/>
          <w:sz w:val="24"/>
          <w:szCs w:val="24"/>
          <w:u w:color="000000"/>
          <w:rtl w:val="0"/>
          <w14:textFill>
            <w14:solidFill>
              <w14:srgbClr w14:val="000000"/>
            </w14:solidFill>
          </w14:textFill>
        </w:rPr>
        <w:t xml:space="preserve">ρ = 8.22 × </w:t>
      </w:r>
      <w:r>
        <w:rPr>
          <w:b w:val="0"/>
          <w:bCs w:val="0"/>
          <w:outline w:val="0"/>
          <w:color w:val="000000"/>
          <w:sz w:val="24"/>
          <w:szCs w:val="24"/>
          <w:u w:color="000000"/>
          <w:rtl w:val="0"/>
          <w:lang w:val="en-US"/>
          <w14:textFill>
            <w14:solidFill>
              <w14:srgbClr w14:val="000000"/>
            </w14:solidFill>
          </w14:textFill>
        </w:rPr>
        <w:t>N Gbits/cm</w:t>
      </w:r>
      <w:r>
        <w:rPr>
          <w:b w:val="0"/>
          <w:bCs w:val="0"/>
          <w:outline w:val="0"/>
          <w:color w:val="000000"/>
          <w:sz w:val="24"/>
          <w:szCs w:val="24"/>
          <w:u w:color="000000"/>
          <w:rtl w:val="0"/>
          <w14:textFill>
            <w14:solidFill>
              <w14:srgbClr w14:val="000000"/>
            </w14:solidFill>
          </w14:textFill>
        </w:rPr>
        <w:t xml:space="preserve">² </w:t>
      </w:r>
      <w:r>
        <w:rPr>
          <w:b w:val="0"/>
          <w:bCs w:val="0"/>
          <w:outline w:val="0"/>
          <w:color w:val="000000"/>
          <w:sz w:val="24"/>
          <w:szCs w:val="24"/>
          <w:u w:color="000000"/>
          <w:rtl w:val="0"/>
          <w:lang w:val="en-US"/>
          <w14:textFill>
            <w14:solidFill>
              <w14:srgbClr w14:val="000000"/>
            </w14:solidFill>
          </w14:textFill>
        </w:rPr>
        <w:t>is stated as a projection dependent on experimental determination of N, not as a demonstrated result.</w:t>
      </w:r>
    </w:p>
    <w:p>
      <w:pPr>
        <w:spacing w:after="160"/>
        <w:jc w:val="both"/>
      </w:pPr>
      <w:r>
        <w:rPr>
          <w:b w:val="0"/>
          <w:bCs w:val="0"/>
          <w:outline w:val="0"/>
          <w:color w:val="000000"/>
          <w:sz w:val="24"/>
          <w:szCs w:val="24"/>
          <w:u w:color="000000"/>
          <w:rtl w:val="0"/>
          <w:lang w:val="en-US"/>
          <w14:textFill>
            <w14:solidFill>
              <w14:srgbClr w14:val="000000"/>
            </w14:solidFill>
          </w14:textFill>
        </w:rPr>
        <w:t>We submit these limitations not as disqualifying uncertainties but as the defined experimental agenda that follows from this theoretical framework.</w:t>
      </w:r>
    </w:p>
    <w:p>
      <w:pPr>
        <w:pStyle w:val="Heading1"/>
        <w:spacing w:before="320" w:after="160"/>
      </w:pPr>
      <w:r>
        <w:rPr>
          <w:rtl w:val="0"/>
          <w:lang w:val="it-IT"/>
        </w:rPr>
        <w:t>10. Conclusion</w:t>
      </w:r>
    </w:p>
    <w:p>
      <w:pPr>
        <w:spacing w:after="160"/>
        <w:jc w:val="both"/>
      </w:pPr>
      <w:r>
        <w:rPr>
          <w:b w:val="0"/>
          <w:bCs w:val="0"/>
          <w:outline w:val="0"/>
          <w:color w:val="000000"/>
          <w:sz w:val="24"/>
          <w:szCs w:val="24"/>
          <w:u w:color="000000"/>
          <w:rtl w:val="0"/>
          <w:lang w:val="en-US"/>
          <w14:textFill>
            <w14:solidFill>
              <w14:srgbClr w14:val="000000"/>
            </w14:solidFill>
          </w14:textFill>
        </w:rPr>
        <w:t>We have proposed and grounded a photonic memristor architecture based on two-dimensional SnSe crystals fabricated on graphene substrates, with quantitative performance derived from experimentally measured optical constants.</w:t>
      </w:r>
    </w:p>
    <w:p>
      <w:pPr>
        <w:spacing w:after="160"/>
        <w:jc w:val="both"/>
      </w:pPr>
      <w:r>
        <w:rPr>
          <w:b w:val="0"/>
          <w:bCs w:val="0"/>
          <w:outline w:val="0"/>
          <w:color w:val="000000"/>
          <w:sz w:val="24"/>
          <w:szCs w:val="24"/>
          <w:u w:color="000000"/>
          <w:rtl w:val="0"/>
          <w:lang w:val="en-US"/>
          <w14:textFill>
            <w14:solidFill>
              <w14:srgbClr w14:val="000000"/>
            </w14:solidFill>
          </w14:textFill>
        </w:rPr>
        <w:t xml:space="preserve">The core argument is as follows. The von Neumann bottleneck is increasingly constrained by physical limits arising from the separation of memory and compute. SnSe — </w:t>
      </w:r>
      <w:r>
        <w:rPr>
          <w:b w:val="0"/>
          <w:bCs w:val="0"/>
          <w:outline w:val="0"/>
          <w:color w:val="000000"/>
          <w:sz w:val="24"/>
          <w:szCs w:val="24"/>
          <w:u w:color="000000"/>
          <w:rtl w:val="0"/>
          <w:lang w:val="nl-NL"/>
          <w14:textFill>
            <w14:solidFill>
              <w14:srgbClr w14:val="000000"/>
            </w14:solidFill>
          </w14:textFill>
        </w:rPr>
        <w:t xml:space="preserve">a non-toxic, abundant, room-temperature ferroelectric van der Waals crystal </w:t>
      </w:r>
      <w:r>
        <w:rPr>
          <w:b w:val="0"/>
          <w:bCs w:val="0"/>
          <w:outline w:val="0"/>
          <w:color w:val="000000"/>
          <w:sz w:val="24"/>
          <w:szCs w:val="24"/>
          <w:u w:color="000000"/>
          <w:rtl w:val="0"/>
          <w:lang w:val="en-US"/>
          <w14:textFill>
            <w14:solidFill>
              <w14:srgbClr w14:val="000000"/>
            </w14:solidFill>
          </w14:textFill>
        </w:rPr>
        <w:t xml:space="preserve">— exhibits the key properties required for such an architecture: non-volatile optical state storage via ferroelectric ionic switching, analog multilevel depth derived from a measured birefringence of </w:t>
      </w:r>
      <w:r>
        <w:rPr>
          <w:b w:val="0"/>
          <w:bCs w:val="0"/>
          <w:outline w:val="0"/>
          <w:color w:val="000000"/>
          <w:sz w:val="24"/>
          <w:szCs w:val="24"/>
          <w:u w:color="000000"/>
          <w:rtl w:val="0"/>
          <w14:textFill>
            <w14:solidFill>
              <w14:srgbClr w14:val="000000"/>
            </w14:solidFill>
          </w14:textFill>
        </w:rPr>
        <w:t>Δ</w:t>
      </w:r>
      <w:r>
        <w:rPr>
          <w:b w:val="0"/>
          <w:bCs w:val="0"/>
          <w:outline w:val="0"/>
          <w:color w:val="000000"/>
          <w:sz w:val="24"/>
          <w:szCs w:val="24"/>
          <w:u w:color="000000"/>
          <w:rtl w:val="0"/>
          <w:lang w:val="en-US"/>
          <w14:textFill>
            <w14:solidFill>
              <w14:srgbClr w14:val="000000"/>
            </w14:solidFill>
          </w14:textFill>
        </w:rPr>
        <w:t>n = 0.4 at telecom wavelengths, and light-addressable read/write without electron flow in the active layer.</w:t>
      </w:r>
    </w:p>
    <w:p>
      <w:pPr>
        <w:spacing w:after="160"/>
        <w:jc w:val="both"/>
      </w:pPr>
      <w:r>
        <w:rPr>
          <w:b w:val="0"/>
          <w:bCs w:val="0"/>
          <w:outline w:val="0"/>
          <w:color w:val="000000"/>
          <w:sz w:val="24"/>
          <w:szCs w:val="24"/>
          <w:u w:color="000000"/>
          <w:rtl w:val="0"/>
          <w:lang w:val="en-US"/>
          <w14:textFill>
            <w14:solidFill>
              <w14:srgbClr w14:val="000000"/>
            </w14:solidFill>
          </w14:textFill>
        </w:rPr>
        <w:t xml:space="preserve">The storage density figures derived in this work are stated with explicit assumptions. A single SnSe photonic memristor layer achieves a practical areal density of 8.22 Gbits/cm² — derived using a conservative 10:1 noise derate from the measured 23 dB extinction ratio, diffraction-limited spot size at 1550nm, and refractive index n </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 xml:space="preserve">3. This figure approaches current 3D NAND flash on a per-layer basis. A stack of N complementary layer pairs — grounded in demonstrated sliding ferroelectricity rather than assumed WDM channel counts — scales as 8.22 </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N Gbits/cm</w:t>
      </w:r>
      <w:r>
        <w:rPr>
          <w:b w:val="0"/>
          <w:bCs w:val="0"/>
          <w:outline w:val="0"/>
          <w:color w:val="000000"/>
          <w:sz w:val="24"/>
          <w:szCs w:val="24"/>
          <w:u w:color="000000"/>
          <w:rtl w:val="0"/>
          <w14:textFill>
            <w14:solidFill>
              <w14:srgbClr w14:val="000000"/>
            </w14:solidFill>
          </w14:textFill>
        </w:rPr>
        <w:t>²</w:t>
      </w:r>
      <w:r>
        <w:rPr>
          <w:b w:val="0"/>
          <w:bCs w:val="0"/>
          <w:outline w:val="0"/>
          <w:color w:val="000000"/>
          <w:sz w:val="24"/>
          <w:szCs w:val="24"/>
          <w:u w:color="000000"/>
          <w:rtl w:val="0"/>
          <w:lang w:val="en-US"/>
          <w14:textFill>
            <w14:solidFill>
              <w14:srgbClr w14:val="000000"/>
            </w14:solidFill>
          </w14:textFill>
        </w:rPr>
        <w:t>. At N = 80 pairs, total density reaches 657 Gbits/cm</w:t>
      </w:r>
      <w:r>
        <w:rPr>
          <w:b w:val="0"/>
          <w:bCs w:val="0"/>
          <w:outline w:val="0"/>
          <w:color w:val="000000"/>
          <w:sz w:val="24"/>
          <w:szCs w:val="24"/>
          <w:u w:color="000000"/>
          <w:rtl w:val="0"/>
          <w14:textFill>
            <w14:solidFill>
              <w14:srgbClr w14:val="000000"/>
            </w14:solidFill>
          </w14:textFill>
        </w:rPr>
        <w:t>²</w:t>
      </w:r>
      <w:r>
        <w:rPr>
          <w:b w:val="0"/>
          <w:bCs w:val="0"/>
          <w:outline w:val="0"/>
          <w:color w:val="000000"/>
          <w:sz w:val="24"/>
          <w:szCs w:val="24"/>
          <w:u w:color="000000"/>
          <w:rtl w:val="0"/>
          <w:lang w:val="en-US"/>
          <w14:textFill>
            <w14:solidFill>
              <w14:srgbClr w14:val="000000"/>
            </w14:solidFill>
          </w14:textFill>
        </w:rPr>
        <w:t>, approximately 66</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it-IT"/>
          <w14:textFill>
            <w14:solidFill>
              <w14:srgbClr w14:val="000000"/>
            </w14:solidFill>
          </w14:textFill>
        </w:rPr>
        <w:t>a representative 10 Gbit/cm</w:t>
      </w:r>
      <w:r>
        <w:rPr>
          <w:b w:val="0"/>
          <w:bCs w:val="0"/>
          <w:outline w:val="0"/>
          <w:color w:val="000000"/>
          <w:sz w:val="24"/>
          <w:szCs w:val="24"/>
          <w:u w:color="000000"/>
          <w:rtl w:val="0"/>
          <w14:textFill>
            <w14:solidFill>
              <w14:srgbClr w14:val="000000"/>
            </w14:solidFill>
          </w14:textFill>
        </w:rPr>
        <w:t xml:space="preserve">² </w:t>
      </w:r>
      <w:r>
        <w:rPr>
          <w:b w:val="0"/>
          <w:bCs w:val="0"/>
          <w:outline w:val="0"/>
          <w:color w:val="000000"/>
          <w:sz w:val="24"/>
          <w:szCs w:val="24"/>
          <w:u w:color="000000"/>
          <w:rtl w:val="0"/>
          <w:lang w:val="en-US"/>
          <w14:textFill>
            <w14:solidFill>
              <w14:srgbClr w14:val="000000"/>
            </w14:solidFill>
          </w14:textFill>
        </w:rPr>
        <w:t>per-layer-equivalent NAND baseline, not total stacked NAND density. The derate factor, layer count, and all intermediate assumptions are stated explicitly throughout so reviewers can apply alternative assumptions without undermining the architectural argument.</w:t>
      </w:r>
    </w:p>
    <w:p>
      <w:pPr>
        <w:spacing w:after="160"/>
        <w:jc w:val="both"/>
      </w:pPr>
      <w:r>
        <w:rPr>
          <w:b w:val="0"/>
          <w:bCs w:val="0"/>
          <w:outline w:val="0"/>
          <w:color w:val="000000"/>
          <w:sz w:val="24"/>
          <w:szCs w:val="24"/>
          <w:u w:color="000000"/>
          <w:rtl w:val="0"/>
          <w:lang w:val="en-US"/>
          <w14:textFill>
            <w14:solidFill>
              <w14:srgbClr w14:val="000000"/>
            </w14:solidFill>
          </w14:textFill>
        </w:rPr>
        <w:t>Crystal thickness is a tunable parameter that simultaneously improves mechanical robustness and analog precision — a self-reinforcing advantage with no analog in silicon memory engineering.</w:t>
      </w:r>
    </w:p>
    <w:p>
      <w:pPr>
        <w:spacing w:after="160"/>
        <w:jc w:val="both"/>
      </w:pPr>
      <w:r>
        <w:rPr>
          <w:b w:val="0"/>
          <w:bCs w:val="0"/>
          <w:outline w:val="0"/>
          <w:color w:val="000000"/>
          <w:sz w:val="24"/>
          <w:szCs w:val="24"/>
          <w:u w:color="000000"/>
          <w:rtl w:val="0"/>
          <w:lang w:val="en-US"/>
          <w14:textFill>
            <w14:solidFill>
              <w14:srgbClr w14:val="000000"/>
            </w14:solidFill>
          </w14:textFill>
        </w:rPr>
        <w:t>The graphene substrate is not a passive support but an active architectural element: providing epitaxial templating, electrostatic stabilization of ferroelectric domains, and optical confinement.</w:t>
      </w:r>
    </w:p>
    <w:p>
      <w:pPr>
        <w:spacing w:after="160"/>
        <w:jc w:val="both"/>
      </w:pPr>
      <w:r>
        <w:rPr>
          <w:b w:val="0"/>
          <w:bCs w:val="0"/>
          <w:outline w:val="0"/>
          <w:color w:val="000000"/>
          <w:sz w:val="24"/>
          <w:szCs w:val="24"/>
          <w:u w:color="000000"/>
          <w:rtl w:val="0"/>
          <w:lang w:val="en-US"/>
          <w14:textFill>
            <w14:solidFill>
              <w14:srgbClr w14:val="000000"/>
            </w14:solidFill>
          </w14:textFill>
        </w:rPr>
        <w:t>The manufacturing pathway — physical vapor deposition at 250</w:t>
      </w:r>
      <w:r>
        <w:rPr>
          <w:b w:val="0"/>
          <w:bCs w:val="0"/>
          <w:outline w:val="0"/>
          <w:color w:val="000000"/>
          <w:sz w:val="24"/>
          <w:szCs w:val="24"/>
          <w:u w:color="000000"/>
          <w:rtl w:val="0"/>
          <w:lang w:val="it-IT"/>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 h-BN encapsulation, SOI photonic integration — requires engineering development but no new physics.</w:t>
      </w:r>
    </w:p>
    <w:p>
      <w:pPr>
        <w:spacing w:after="160"/>
        <w:jc w:val="both"/>
      </w:pPr>
      <w:r>
        <w:rPr>
          <w:b w:val="0"/>
          <w:bCs w:val="0"/>
          <w:outline w:val="0"/>
          <w:color w:val="000000"/>
          <w:sz w:val="24"/>
          <w:szCs w:val="24"/>
          <w:u w:color="000000"/>
          <w:rtl w:val="0"/>
          <w:lang w:val="en-US"/>
          <w14:textFill>
            <w14:solidFill>
              <w14:srgbClr w14:val="000000"/>
            </w14:solidFill>
          </w14:textFill>
        </w:rPr>
        <w:t>The primary open challenge — endurance at 10</w:t>
      </w:r>
      <w:r>
        <w:rPr>
          <w:b w:val="0"/>
          <w:bCs w:val="0"/>
          <w:outline w:val="0"/>
          <w:color w:val="000000"/>
          <w:sz w:val="24"/>
          <w:szCs w:val="24"/>
          <w:u w:color="000000"/>
          <w:rtl w:val="0"/>
          <w14:textFill>
            <w14:solidFill>
              <w14:srgbClr w14:val="000000"/>
            </w14:solidFill>
          </w14:textFill>
        </w:rPr>
        <w:t xml:space="preserve">³ </w:t>
      </w:r>
      <w:r>
        <w:rPr>
          <w:b w:val="0"/>
          <w:bCs w:val="0"/>
          <w:outline w:val="0"/>
          <w:color w:val="000000"/>
          <w:sz w:val="24"/>
          <w:szCs w:val="24"/>
          <w:u w:color="000000"/>
          <w:rtl w:val="0"/>
          <w:lang w:val="en-US"/>
          <w14:textFill>
            <w14:solidFill>
              <w14:srgbClr w14:val="000000"/>
            </w14:solidFill>
          </w14:textFill>
        </w:rPr>
        <w:t>cycles versus the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⁵</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it-IT"/>
          <w14:textFill>
            <w14:solidFill>
              <w14:srgbClr w14:val="000000"/>
            </w14:solidFill>
          </w14:textFill>
        </w:rPr>
        <w:t>to 10</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⁶</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required for practical deployment — is identified as a surface passivation problem solvable within existing materials engineering capability, not a fundamental barrier to the architecture.</w:t>
      </w:r>
    </w:p>
    <w:p>
      <w:pPr>
        <w:spacing w:after="160"/>
        <w:jc w:val="both"/>
      </w:pPr>
      <w:r>
        <w:rPr>
          <w:b w:val="0"/>
          <w:bCs w:val="0"/>
          <w:outline w:val="0"/>
          <w:color w:val="000000"/>
          <w:sz w:val="24"/>
          <w:szCs w:val="24"/>
          <w:u w:color="000000"/>
          <w:rtl w:val="0"/>
          <w:lang w:val="en-US"/>
          <w14:textFill>
            <w14:solidFill>
              <w14:srgbClr w14:val="000000"/>
            </w14:solidFill>
          </w14:textFill>
        </w:rPr>
        <w:t>We submit this work as a theoretical framework and experimental roadmap. The individual components have been demonstrated. Their integration into a unified photonic memristor architecture has not. This integration is the next step, and we invite the photonics and materials science communities to undertake it.</w:t>
      </w:r>
    </w:p>
    <w:p>
      <w:pPr>
        <w:spacing w:after="160"/>
        <w:jc w:val="both"/>
      </w:pPr>
      <w:r>
        <w:rPr>
          <w:b w:val="0"/>
          <w:bCs w:val="0"/>
          <w:outline w:val="0"/>
          <w:color w:val="000000"/>
          <w:sz w:val="24"/>
          <w:szCs w:val="24"/>
          <w:u w:color="000000"/>
          <w:rtl w:val="0"/>
          <w:lang w:val="en-US"/>
          <w14:textFill>
            <w14:solidFill>
              <w14:srgbClr w14:val="000000"/>
            </w14:solidFill>
          </w14:textFill>
        </w:rPr>
        <w:t>The computing substrate of the next era will not be built from silicon and copper. The scaling trajectory of silicon</w:t>
      </w:r>
      <w:r>
        <w:rPr>
          <w:b w:val="0"/>
          <w:bCs w:val="0"/>
          <w:outline w:val="0"/>
          <w:color w:val="000000"/>
          <w:sz w:val="24"/>
          <w:szCs w:val="24"/>
          <w:u w:color="000000"/>
          <w:rtl w:val="0"/>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copper architectures is increasingly constrained by fundamental physical limits. It will be built from ionic crystals grown on graphene, addressed by light, storing information in the orientation of atomic lattices. The architecture proposed here is one path to that substrate. We believe it is a viable one.</w:t>
      </w:r>
    </w:p>
    <w:p>
      <w:pPr>
        <w:pStyle w:val="Heading1"/>
        <w:spacing w:before="320" w:after="160"/>
      </w:pPr>
      <w:r>
        <w:rPr>
          <w:rtl w:val="0"/>
          <w:lang w:val="fr-FR"/>
        </w:rPr>
        <w:t>References</w:t>
      </w:r>
    </w:p>
    <w:p>
      <w:pPr>
        <w:spacing w:after="120"/>
        <w:ind w:left="360" w:hanging="360"/>
        <w:jc w:val="both"/>
      </w:pPr>
      <w:r>
        <w:rPr>
          <w:b w:val="0"/>
          <w:bCs w:val="0"/>
          <w:outline w:val="0"/>
          <w:color w:val="000000"/>
          <w:sz w:val="24"/>
          <w:szCs w:val="24"/>
          <w:u w:color="000000"/>
          <w:rtl w:val="0"/>
          <w14:textFill>
            <w14:solidFill>
              <w14:srgbClr w14:val="000000"/>
            </w14:solidFill>
          </w14:textFill>
        </w:rPr>
        <w:t xml:space="preserve">[1] Chua, L.O. (1971). Memristor </w:t>
      </w:r>
      <w:r>
        <w:rPr>
          <w:b w:val="0"/>
          <w:bCs w:val="0"/>
          <w:outline w:val="0"/>
          <w:color w:val="000000"/>
          <w:sz w:val="24"/>
          <w:szCs w:val="24"/>
          <w:u w:color="000000"/>
          <w:rtl w:val="0"/>
          <w:lang w:val="en-US"/>
          <w14:textFill>
            <w14:solidFill>
              <w14:srgbClr w14:val="000000"/>
            </w14:solidFill>
          </w14:textFill>
        </w:rPr>
        <w:t>— the missing circuit element. IEEE Transactions on Circuit Theory, 18(5), 507-519.</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 Strukov, D.B., Snider, G.S., Stewart, D.R., &amp; Williams, R.S. (2008). The missing memristor found. Nature, 453, 80-83.</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[3] Chang, K., et al. (2020). Microscopic manipulation of ferroelectric domains in SnSe monolayers at room temperature. Nano Letters, 20, 6590-6597.</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[4] Wang, H., et al. (2025). Room-temperature multiferroicity in sliding van der Waals semiconductors with sub-0.3V switching. Nature Communications.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[5] Shafiee, A., Chen, L., Nikdast, M., et al. (2025). Polarization-encodable photonic memory cells using next-generation 2D phase-change materials. Nano Research, 18(3), 94907198.</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 xml:space="preserve">[6] Gu, H., et al. (2023). Broadband and incident-angle-modulation near-infrared polarizers based on optically anisotropic SnSe. Nanomaterials. [SnSe birefringence </w:t>
      </w:r>
      <w:r>
        <w:rPr>
          <w:b w:val="0"/>
          <w:bCs w:val="0"/>
          <w:outline w:val="0"/>
          <w:color w:val="000000"/>
          <w:sz w:val="24"/>
          <w:szCs w:val="24"/>
          <w:u w:color="000000"/>
          <w:rtl w:val="0"/>
          <w14:textFill>
            <w14:solidFill>
              <w14:srgbClr w14:val="000000"/>
            </w14:solidFill>
          </w14:textFill>
        </w:rPr>
        <w:t>Δ</w:t>
      </w:r>
      <w:r>
        <w:rPr>
          <w:b w:val="0"/>
          <w:bCs w:val="0"/>
          <w:outline w:val="0"/>
          <w:color w:val="000000"/>
          <w:sz w:val="24"/>
          <w:szCs w:val="24"/>
          <w:u w:color="000000"/>
          <w:rtl w:val="0"/>
          <w:lang w:val="en-US"/>
          <w14:textFill>
            <w14:solidFill>
              <w14:srgbClr w14:val="000000"/>
            </w14:solidFill>
          </w14:textFill>
        </w:rPr>
        <w:t>n = 0.4, extinction ratio 23-71 dB at 1262-1586nm]</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[7] Ermolaev, G.A., et al. (2022). Broadband optical constants and nonlinear properties of SnS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and SnSe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 Nanomaterials, 12, 141. [SnSe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zero optical loss 1300-3300nm]</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[8] Youngblood, N., Pintus, P., Murai, T., Shoji, Y., et al. (2024). Integrated non-reciprocal magneto-optics with ultra-high endurance for photonic in-memory computing. Nature Photonics.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[9] Ashtiani, F. (2025). Programmable photonic latch for volatile optical memory using silicon photonics. Nokia Bell Labs / ScienceDaily.</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[10] Wei, M., et al. (2024). Monolithic back-end-of-line integration of phase change materials into foundry-manufactured silicon photonics. Nature Communications, 15, 2786.</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[11] Delaney, M., et al. (2021). Nonvolatile programmable silicon photonics using an ultralow-loss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phase change material. Science Advances, 7, eabg3500.</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[12] Wang, et al. (2024). 2D Bi-doped SnSe ferroelectric memristor integrating all-in-one sensing-memory-computing. ScienceDirect. [endurance ~10</w:t>
      </w:r>
      <w:r>
        <w:rPr>
          <w:b w:val="0"/>
          <w:bCs w:val="0"/>
          <w:outline w:val="0"/>
          <w:color w:val="000000"/>
          <w:sz w:val="24"/>
          <w:szCs w:val="24"/>
          <w:u w:color="000000"/>
          <w:rtl w:val="0"/>
          <w14:textFill>
            <w14:solidFill>
              <w14:srgbClr w14:val="000000"/>
            </w14:solidFill>
          </w14:textFill>
        </w:rPr>
        <w:t xml:space="preserve">³ </w:t>
      </w:r>
      <w:r>
        <w:rPr>
          <w:b w:val="0"/>
          <w:bCs w:val="0"/>
          <w:outline w:val="0"/>
          <w:color w:val="000000"/>
          <w:sz w:val="24"/>
          <w:szCs w:val="24"/>
          <w:u w:color="000000"/>
          <w:rtl w:val="0"/>
          <w:lang w:val="en-US"/>
          <w14:textFill>
            <w14:solidFill>
              <w14:srgbClr w14:val="000000"/>
            </w14:solidFill>
          </w14:textFill>
        </w:rPr>
        <w:t>cycles]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[13] Fabrication Strategies for 2D Halide Perovskite Towards Next-Generation Optoelectronic Applications. (2024). International Journal of Precision Engineering and Manufacturing-Green Technology. [scotch tape exfoliation, van der Waals layer separation]</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[14] Two-Dimensional Materials for Highly Efficient and Stable Perovskite Solar Cells. (2024). Nano-Micro Letters. [graphene epitaxial templating of perovskite films]</w:t>
      </w:r>
    </w:p>
    <w:p>
      <w:pPr>
        <w:spacing w:after="120"/>
        <w:ind w:left="360" w:hanging="360"/>
        <w:jc w:val="both"/>
      </w:pPr>
      <w:r>
        <w:rPr>
          <w:b w:val="0"/>
          <w:bCs w:val="0"/>
          <w:outline w:val="0"/>
          <w:color w:val="000000"/>
          <w:sz w:val="24"/>
          <w:szCs w:val="24"/>
          <w:u w:color="000000"/>
          <w:rtl w:val="0"/>
          <w:lang w:val="nl-NL"/>
          <w14:textFill>
            <w14:solidFill>
              <w14:srgbClr w14:val="000000"/>
            </w14:solidFill>
          </w14:textFill>
        </w:rPr>
        <w:t>[15] Facet-selective growth of halide perovskite/2D semiconductor van der Waals heterostructures. (2024). Nature Communications. [van der Waals heteroepitaxy]</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[16] Yang, S., et al. (2024). Graphene-polymer reinforcement of perovskite lattices for durable solar cells. Science. [graphene-perovskite interface stability]</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[17] Gao, C., et al. (2025). Structure-optimized photonic phase-change memory achieving high storage density. Photonics, 12(11), 1130. [209 analog states demonstrated]</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[18] Lead-free halide perovskite memristors for scalable crossbar arrays. (2025). Nano Convergence. [non-toxic B-site substitutions, endurance and stability strategies]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 xml:space="preserve">[19] Wang, et al. (2024). 2D Bi-doped SnSe ferroelectric memristor integrating all-in-one sensing-memory-computing. ScienceDirect. [Bi-doped SnSe symmetric coercive voltage </w:t>
      </w:r>
      <w:r>
        <w:rPr>
          <w:b w:val="0"/>
          <w:bCs w:val="0"/>
          <w:outline w:val="0"/>
          <w:color w:val="000000"/>
          <w:sz w:val="24"/>
          <w:szCs w:val="24"/>
          <w:u w:color="000000"/>
          <w:rtl w:val="1"/>
          <w14:textFill>
            <w14:solidFill>
              <w14:srgbClr w14:val="000000"/>
            </w14:solidFill>
          </w14:textFill>
        </w:rPr>
        <w:t>±</w:t>
      </w:r>
      <w:r>
        <w:rPr>
          <w:b w:val="0"/>
          <w:bCs w:val="0"/>
          <w:outline w:val="0"/>
          <w:color w:val="000000"/>
          <w:sz w:val="24"/>
          <w:szCs w:val="24"/>
          <w:u w:color="000000"/>
          <w:rtl w:val="0"/>
          <w:lang w:val="en-US"/>
          <w14:textFill>
            <w14:solidFill>
              <w14:srgbClr w14:val="000000"/>
            </w14:solidFill>
          </w14:textFill>
        </w:rPr>
        <w:t>2.4V, endurance ~10</w:t>
      </w:r>
      <w:r>
        <w:rPr>
          <w:b w:val="0"/>
          <w:bCs w:val="0"/>
          <w:outline w:val="0"/>
          <w:color w:val="000000"/>
          <w:sz w:val="24"/>
          <w:szCs w:val="24"/>
          <w:u w:color="000000"/>
          <w:rtl w:val="0"/>
          <w14:textFill>
            <w14:solidFill>
              <w14:srgbClr w14:val="000000"/>
            </w14:solidFill>
          </w14:textFill>
        </w:rPr>
        <w:t xml:space="preserve">³ </w:t>
      </w:r>
      <w:r>
        <w:rPr>
          <w:b w:val="0"/>
          <w:bCs w:val="0"/>
          <w:outline w:val="0"/>
          <w:color w:val="000000"/>
          <w:sz w:val="24"/>
          <w:szCs w:val="24"/>
          <w:u w:color="000000"/>
          <w:rtl w:val="0"/>
          <w:lang w:val="en-US"/>
          <w14:textFill>
            <w14:solidFill>
              <w14:srgbClr w14:val="000000"/>
            </w14:solidFill>
          </w14:textFill>
        </w:rPr>
        <w:t>cycles — bismuth dopant baseline this work supersedes]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[20] Delaney, M., et al. (2021). Nonvolatile programmable silicon photonics using an ultralow-loss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phase change material. Science Advances, 7, eabg3500.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optical characterization — antimony-selenium chemistry baseline for Sn</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₁₋</w:t>
      </w:r>
      <w:r>
        <w:rPr>
          <w:b w:val="0"/>
          <w:bCs w:val="0"/>
          <w:outline w:val="0"/>
          <w:color w:val="000000"/>
          <w:sz w:val="24"/>
          <w:szCs w:val="24"/>
          <w:u w:color="000000"/>
          <w:rtl w:val="0"/>
          <w14:textFill>
            <w14:solidFill>
              <w14:srgbClr w14:val="000000"/>
            </w14:solidFill>
          </w14:textFill>
        </w:rPr>
        <w:t>ₓSbₓ</w:t>
      </w:r>
      <w:r>
        <w:rPr>
          <w:b w:val="0"/>
          <w:bCs w:val="0"/>
          <w:outline w:val="0"/>
          <w:color w:val="000000"/>
          <w:sz w:val="24"/>
          <w:szCs w:val="24"/>
          <w:u w:color="000000"/>
          <w:rtl w:val="0"/>
          <w:lang w:val="en-US"/>
          <w14:textFill>
            <w14:solidFill>
              <w14:srgbClr w14:val="000000"/>
            </w14:solidFill>
          </w14:textFill>
        </w:rPr>
        <w:t>Se development]</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[21] Vizner Stern, M., et al. (2021). Interfacial ferroelectricity by van der Waals sliding. Science, 372, 1462-1466. [Demonstrated sliding ferroelectricity in hBN bilayers — basis for complementary layer pair architecture]</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[22] Wang, X., et al. (2022). Interfacial ferroelectricity in rhombohedral-stacked bilayer transition metal dichalcogenides. Nature Nanotechnology, 17, 367-371. [Sliding ferroelectricity confirmed in 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de-DE"/>
          <w14:textFill>
            <w14:solidFill>
              <w14:srgbClr w14:val="000000"/>
            </w14:solidFill>
          </w14:textFill>
        </w:rPr>
        <w:t>, WS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it-IT"/>
          <w14:textFill>
            <w14:solidFill>
              <w14:srgbClr w14:val="000000"/>
            </w14:solidFill>
          </w14:textFill>
        </w:rPr>
        <w:t>, MoSe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de-DE"/>
          <w14:textFill>
            <w14:solidFill>
              <w14:srgbClr w14:val="000000"/>
            </w14:solidFill>
          </w14:textFill>
        </w:rPr>
        <w:t>, WSe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pt-PT"/>
          <w14:textFill>
            <w14:solidFill>
              <w14:srgbClr w14:val="000000"/>
            </w14:solidFill>
          </w14:textFill>
        </w:rPr>
        <w:t>]</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[23] Yasuda, K., et al. (2024). Ultrafast ferroelectric switching in stacking-engineered van der Waals materials. Science, 385, 53-56. [High endurance sliding ferroelectric — basis for stacking architecture endurance argument]</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[24] Ma, Y., et al. (2026). Distinct tunable in-plane birefringence via domain manipulation in a 2D metal halide ferroelectric. Angewandte Chemie International Edition. [Ferroelectric domain manipulation directly controls optical birefringence — validates optical addressability of layer states]</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[25] Wang, J., et al. (2022). Unusual ferroelectric-dependent birefringence in 2D trilayered perovskite-type ferroelectric exploited by dimensional tailoring. Matter, 5, 194-205. [Birefringence reversibly switched through ferroelectric symmetry breaking]</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[26] Meng, P., et al. (2025). Resolving polarization switching pathways of sliding ferroelectricity in trilayer 3R-MoS</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n-US"/>
          <w14:textFill>
            <w14:solidFill>
              <w14:srgbClr w14:val="000000"/>
            </w14:solidFill>
          </w14:textFill>
        </w:rPr>
        <w:t>. Nature Nanotechnology. [Four distinct stacking configurations ABC/ABA/BAB/CBA independently resolvable optically — proof of concept for N-layer optical addressability]</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[27] von Neumann, J. (1945). First Draft of a Report on the EDVAC. University of Pennsylvania.</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[28] Novoselov, K.S., et al. (2004). Electric field effect in atomically thin carbon films. Science, 306, 666-669.</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[29] Hobson, T.D.C., et al. (2020). Isotype heterojunction solar cells using n-type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thin films. Chemistry of Materials, 32(6), 2621-2630.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14:textFill>
            <w14:solidFill>
              <w14:srgbClr w14:val="000000"/>
            </w14:solidFill>
          </w14:textFill>
        </w:rPr>
        <w:t>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photovoltaic crystal growth and defect characterization at device scale — demonstrates Sb-Se chemistry is commercially mature]</w:t>
      </w:r>
    </w:p>
    <w:p>
      <w:pPr>
        <w:spacing w:after="120"/>
        <w:ind w:left="360" w:hanging="360"/>
        <w:jc w:val="both"/>
      </w:pPr>
      <w:r>
        <w:rPr>
          <w:b w:val="0"/>
          <w:bCs w:val="0"/>
          <w:outline w:val="0"/>
          <w:color w:val="000000"/>
          <w:sz w:val="24"/>
          <w:szCs w:val="24"/>
          <w:u w:color="000000"/>
          <w:rtl w:val="0"/>
          <w:lang w:val="pt-PT"/>
          <w14:textFill>
            <w14:solidFill>
              <w14:srgbClr w14:val="000000"/>
            </w14:solidFill>
          </w14:textFill>
        </w:rPr>
        <w:t>[30] Liang, G.X., et al. (2022). Antimony selenide-sulfide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s-ES_tradnl"/>
          <w14:textFill>
            <w14:solidFill>
              <w14:srgbClr w14:val="000000"/>
            </w14:solidFill>
          </w14:textFill>
        </w:rPr>
        <w:t>(S,Se)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with tunable bandgap for high-efficiency solar cells. ACS Energy Letters. [Sb</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₂</w:t>
      </w:r>
      <w:r>
        <w:rPr>
          <w:b w:val="0"/>
          <w:bCs w:val="0"/>
          <w:outline w:val="0"/>
          <w:color w:val="000000"/>
          <w:sz w:val="24"/>
          <w:szCs w:val="24"/>
          <w:u w:color="000000"/>
          <w:rtl w:val="0"/>
          <w:lang w:val="es-ES_tradnl"/>
          <w14:textFill>
            <w14:solidFill>
              <w14:srgbClr w14:val="000000"/>
            </w14:solidFill>
          </w14:textFill>
        </w:rPr>
        <w:t>(S,Se)</w:t>
      </w:r>
      <w:r>
        <w:rPr>
          <w:rFonts w:ascii="Arial Unicode MS" w:cs="Arial Unicode MS" w:hAnsi="Arial Unicode MS" w:eastAsia="Arial Unicode MS" w:hint="default"/>
          <w:b w:val="0"/>
          <w:bCs w:val="0"/>
          <w:i w:val="0"/>
          <w:iCs w:val="0"/>
          <w:outline w:val="0"/>
          <w:color w:val="000000"/>
          <w:sz w:val="24"/>
          <w:szCs w:val="24"/>
          <w:u w:color="000000"/>
          <w:rtl w:val="0"/>
          <w14:textFill>
            <w14:solidFill>
              <w14:srgbClr w14:val="000000"/>
            </w14:solidFill>
          </w14:textFill>
        </w:rPr>
        <w:t>₃</w:t>
      </w:r>
      <w:r>
        <w:rPr>
          <w:b w:val="0"/>
          <w:bCs w:val="0"/>
          <w:outline w:val="0"/>
          <w:color w:val="000000"/>
          <w:sz w:val="24"/>
          <w:szCs w:val="24"/>
          <w:u w:color="000000"/>
          <w:rtl w:val="0"/>
          <w14:textFill>
            <w14:solidFill>
              <w14:srgbClr w14:val="000000"/>
            </w14:solidFill>
          </w14:textFill>
        </w:rPr>
        <w:t xml:space="preserve"> </w:t>
      </w:r>
      <w:r>
        <w:rPr>
          <w:b w:val="0"/>
          <w:bCs w:val="0"/>
          <w:outline w:val="0"/>
          <w:color w:val="000000"/>
          <w:sz w:val="24"/>
          <w:szCs w:val="24"/>
          <w:u w:color="000000"/>
          <w:rtl w:val="0"/>
          <w:lang w:val="en-US"/>
          <w14:textFill>
            <w14:solidFill>
              <w14:srgbClr w14:val="000000"/>
            </w14:solidFill>
          </w14:textFill>
        </w:rPr>
        <w:t>band gap tuning across full composition range — Sb-Se bond chemistry characterized across composition space]</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[31] Shannon, R.D. (1976). Revised effective ionic radii and systematic studies of interatomic distances in halides and chalcogenides. Acta Crystallographica A32, 751-767. [Ionic radii source for dopant misfit strain calculation]</w:t>
      </w:r>
    </w:p>
    <w:p>
      <w:pPr>
        <w:spacing w:after="120"/>
        <w:ind w:left="360" w:hanging="360"/>
        <w:jc w:val="both"/>
      </w:pPr>
      <w:r>
        <w:rPr>
          <w:b w:val="0"/>
          <w:bCs w:val="0"/>
          <w:outline w:val="0"/>
          <w:color w:val="000000"/>
          <w:sz w:val="24"/>
          <w:szCs w:val="24"/>
          <w:u w:color="000000"/>
          <w:rtl w:val="0"/>
          <w:lang w:val="en-US"/>
          <w14:textFill>
            <w14:solidFill>
              <w14:srgbClr w14:val="000000"/>
            </w14:solidFill>
          </w14:textFill>
        </w:rPr>
        <w:t>[32] Chattopadhyay, T., et al. SnSe elastic constants from DFT. [Bulk modulus B=37 GPa, shear modulus G=15 GPa used in Eshelby strain energy calculation]</w:t>
      </w:r>
    </w:p>
    <w:sectPr>
      <w:headerReference w:type="default" r:id="rId4"/>
      <w:footerReference w:type="default" r:id="rId5"/>
      <w:pgSz w:w="12240" w:h="15840" w:orient="portrait"/>
      <w:pgMar w:top="1440" w:right="1440" w:bottom="1440" w:left="144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w:name w:val="Heading"/>
    <w:next w:val="Heading"/>
    <w:pPr>
      <w:keepNext w:val="0"/>
      <w:keepLines w:val="0"/>
      <w:pageBreakBefore w:val="0"/>
      <w:widowControl w:val="1"/>
      <w:shd w:val="clear" w:color="auto" w:fill="auto"/>
      <w:suppressAutoHyphens w:val="0"/>
      <w:bidi w:val="0"/>
      <w:spacing w:before="320" w:after="16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1a2e"/>
      <w:spacing w:val="0"/>
      <w:kern w:val="0"/>
      <w:position w:val="0"/>
      <w:sz w:val="28"/>
      <w:szCs w:val="28"/>
      <w:u w:val="none" w:color="1a1a2e"/>
      <w:shd w:val="nil" w:color="auto" w:fill="auto"/>
      <w:vertAlign w:val="baseline"/>
      <w:lang w:val="fr-FR"/>
      <w14:textOutline>
        <w14:noFill/>
      </w14:textOutline>
      <w14:textFill>
        <w14:solidFill>
          <w14:srgbClr w14:val="1A1A2E"/>
        </w14:solidFill>
      </w14:textFill>
    </w:rPr>
  </w:style>
</w:styles>
</file>

<file path=word/_rels/document.xml.rels><?xml version="1.0" encoding="UTF-8"?><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