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none" w:color="FFFFFF" w:sz="0"/>
              <w:left w:val="none" w:color="FFFFFF" w:sz="0"/>
              <w:bottom w:val="none" w:color="FFFFFF" w:sz="0"/>
              <w:right w:val="none" w:color="FFFFFF" w:sz="0"/>
            </w:tcBorders>
            <w:shd w:fill="003087" w:val="clear"/>
            <w:tcMar>
              <w:top w:type="dxa" w:w="0"/>
              <w:left w:type="dxa" w:w="0"/>
              <w:bottom w:type="dxa" w:w="0"/>
              <w:right w:type="dxa" w:w="0"/>
            </w:tcMar>
          </w:tcPr>
          <w:p>
            <w:r>
              <w:t xml:space="preserve"/>
            </w:r>
          </w:p>
        </w:tc>
        <w:tc>
          <w:tcPr>
            <w:tcW w:type="dxa" w:w="3120"/>
            <w:tcBorders>
              <w:top w:val="none" w:color="FFFFFF" w:sz="0"/>
              <w:left w:val="none" w:color="FFFFFF" w:sz="0"/>
              <w:bottom w:val="none" w:color="FFFFFF" w:sz="0"/>
              <w:right w:val="none" w:color="FFFFFF" w:sz="0"/>
            </w:tcBorders>
            <w:shd w:fill="EC7000" w:val="clear"/>
            <w:tcMar>
              <w:top w:type="dxa" w:w="0"/>
              <w:left w:type="dxa" w:w="0"/>
              <w:bottom w:type="dxa" w:w="0"/>
              <w:right w:type="dxa" w:w="0"/>
            </w:tcMar>
          </w:tcPr>
          <w:p>
            <w:r>
              <w:t xml:space="preserve"/>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3087" w:val="clear"/>
            <w:tcMar>
              <w:top w:type="dxa" w:w="500"/>
              <w:left w:type="dxa" w:w="500"/>
              <w:bottom w:type="dxa" w:w="500"/>
              <w:right w:type="dxa" w:w="500"/>
            </w:tcMar>
          </w:tcPr>
          <w:p>
            <w:pPr>
              <w:spacing w:after="60" w:before="0"/>
              <w:jc w:val="left"/>
            </w:pPr>
            <w:r>
              <w:rPr>
                <w:rFonts w:ascii="Arial" w:cs="Arial" w:eastAsia="Arial" w:hAnsi="Arial"/>
                <w:b/>
                <w:bCs/>
                <w:color w:val="FFFFFF"/>
                <w:sz w:val="80"/>
                <w:szCs w:val="80"/>
              </w:rPr>
              <w:t xml:space="preserve">Ressonânc</w:t>
            </w:r>
            <w:r>
              <w:rPr>
                <w:rFonts w:ascii="Arial" w:cs="Arial" w:eastAsia="Arial" w:hAnsi="Arial"/>
                <w:b/>
                <w:bCs/>
                <w:color w:val="F5A800"/>
                <w:sz w:val="80"/>
                <w:szCs w:val="80"/>
              </w:rPr>
              <w:t xml:space="preserve">IA</w:t>
            </w:r>
          </w:p>
          <w:p>
            <w:pPr>
              <w:spacing w:after="120" w:before="0"/>
              <w:jc w:val="left"/>
            </w:pPr>
            <w:r>
              <w:rPr>
                <w:rFonts w:ascii="Arial" w:cs="Arial" w:eastAsia="Arial" w:hAnsi="Arial"/>
                <w:i/>
                <w:iCs/>
                <w:color w:val="C8D8F0"/>
                <w:sz w:val="28"/>
                <w:szCs w:val="28"/>
              </w:rPr>
              <w:t xml:space="preserve">Diagnóstico Inteligente da Saúde Contábil</w:t>
            </w:r>
          </w:p>
          <w:p>
            <w:pPr>
              <w:spacing w:after="0" w:before="0"/>
              <w:jc w:val="left"/>
            </w:pPr>
            <w:r>
              <w:rPr>
                <w:rFonts w:ascii="Arial" w:cs="Arial" w:eastAsia="Arial" w:hAnsi="Arial"/>
                <w:color w:val="EC7000"/>
                <w:sz w:val="22"/>
                <w:szCs w:val="22"/>
              </w:rPr>
              <w:t xml:space="preserve">━━━━━━━━━━━━━━━━━━━━━━━━━━━━━━━━</w:t>
            </w:r>
          </w:p>
          <w:p>
            <w:pPr>
              <w:spacing w:after="0" w:before="80"/>
            </w:pPr>
            <w:r>
              <w:t xml:space="preserve"/>
            </w:r>
          </w:p>
          <w:p>
            <w:pPr>
              <w:spacing w:after="40" w:before="0"/>
              <w:jc w:val="left"/>
            </w:pPr>
            <w:r>
              <w:rPr>
                <w:rFonts w:ascii="Arial" w:cs="Arial" w:eastAsia="Arial" w:hAnsi="Arial"/>
                <w:b/>
                <w:bCs/>
                <w:caps/>
                <w:color w:val="FDE8D0"/>
                <w:sz w:val="26"/>
                <w:szCs w:val="26"/>
              </w:rPr>
              <w:t xml:space="preserve">PRODUCT VISION DOCUMENT</w:t>
            </w:r>
          </w:p>
          <w:p>
            <w:pPr>
              <w:spacing w:after="0" w:before="0"/>
              <w:jc w:val="left"/>
            </w:pPr>
            <w:r>
              <w:rPr>
                <w:rFonts w:ascii="Arial" w:cs="Arial" w:eastAsia="Arial" w:hAnsi="Arial"/>
                <w:color w:val="A0B8D8"/>
                <w:sz w:val="22"/>
                <w:szCs w:val="22"/>
              </w:rPr>
              <w:t xml:space="preserve">Squad de Conciliação Contábil  |  Itaú Unibanco</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A060" w:sz="1"/>
              <w:left w:val="single" w:color="E0A060" w:sz="1"/>
              <w:bottom w:val="single" w:color="E0A060" w:sz="1"/>
              <w:right w:val="single" w:color="E0A060" w:sz="1"/>
            </w:tcBorders>
            <w:shd w:fill="FDE8D0" w:val="clear"/>
            <w:tcMar>
              <w:top w:type="dxa" w:w="100"/>
              <w:left w:type="dxa" w:w="180"/>
              <w:bottom w:type="dxa" w:w="100"/>
              <w:right w:type="dxa" w:w="180"/>
            </w:tcMar>
          </w:tcPr>
          <w:p>
            <w:pPr>
              <w:jc w:val="center"/>
            </w:pPr>
            <w:r>
              <w:rPr>
                <w:rFonts w:ascii="Arial" w:cs="Arial" w:eastAsia="Arial" w:hAnsi="Arial"/>
                <w:b/>
                <w:bCs/>
                <w:caps/>
                <w:color w:val="EC7000"/>
                <w:sz w:val="18"/>
                <w:szCs w:val="18"/>
              </w:rPr>
              <w:t xml:space="preserve">VERSÃO</w:t>
            </w:r>
          </w:p>
          <w:p>
            <w:pPr>
              <w:jc w:val="center"/>
            </w:pPr>
            <w:r>
              <w:rPr>
                <w:rFonts w:ascii="Arial" w:cs="Arial" w:eastAsia="Arial" w:hAnsi="Arial"/>
                <w:b/>
                <w:bCs/>
                <w:color w:val="003087"/>
                <w:sz w:val="28"/>
                <w:szCs w:val="28"/>
              </w:rPr>
              <w:t xml:space="preserve">1.0</w:t>
            </w:r>
          </w:p>
        </w:tc>
        <w:tc>
          <w:tcPr>
            <w:tcW w:type="dxa" w:w="3120"/>
            <w:tcBorders>
              <w:top w:val="single" w:color="E0A060" w:sz="1"/>
              <w:left w:val="single" w:color="E0A060" w:sz="1"/>
              <w:bottom w:val="single" w:color="E0A060" w:sz="1"/>
              <w:right w:val="single" w:color="E0A060" w:sz="1"/>
            </w:tcBorders>
            <w:shd w:fill="FDE8D0" w:val="clear"/>
            <w:tcMar>
              <w:top w:type="dxa" w:w="100"/>
              <w:left w:type="dxa" w:w="180"/>
              <w:bottom w:type="dxa" w:w="100"/>
              <w:right w:type="dxa" w:w="180"/>
            </w:tcMar>
          </w:tcPr>
          <w:p>
            <w:pPr>
              <w:jc w:val="center"/>
            </w:pPr>
            <w:r>
              <w:rPr>
                <w:rFonts w:ascii="Arial" w:cs="Arial" w:eastAsia="Arial" w:hAnsi="Arial"/>
                <w:b/>
                <w:bCs/>
                <w:caps/>
                <w:color w:val="EC7000"/>
                <w:sz w:val="18"/>
                <w:szCs w:val="18"/>
              </w:rPr>
              <w:t xml:space="preserve">DATA</w:t>
            </w:r>
          </w:p>
          <w:p>
            <w:pPr>
              <w:jc w:val="center"/>
            </w:pPr>
            <w:r>
              <w:rPr>
                <w:rFonts w:ascii="Arial" w:cs="Arial" w:eastAsia="Arial" w:hAnsi="Arial"/>
                <w:color w:val="333333"/>
                <w:sz w:val="22"/>
                <w:szCs w:val="22"/>
              </w:rPr>
              <w:t xml:space="preserve">Maio / 2026</w:t>
            </w:r>
          </w:p>
        </w:tc>
        <w:tc>
          <w:tcPr>
            <w:tcW w:type="dxa" w:w="3120"/>
            <w:tcBorders>
              <w:top w:val="single" w:color="E0A060" w:sz="1"/>
              <w:left w:val="single" w:color="E0A060" w:sz="1"/>
              <w:bottom w:val="single" w:color="E0A060" w:sz="1"/>
              <w:right w:val="single" w:color="E0A060" w:sz="1"/>
            </w:tcBorders>
            <w:shd w:fill="FDE8D0" w:val="clear"/>
            <w:tcMar>
              <w:top w:type="dxa" w:w="100"/>
              <w:left w:type="dxa" w:w="180"/>
              <w:bottom w:type="dxa" w:w="100"/>
              <w:right w:type="dxa" w:w="180"/>
            </w:tcMar>
          </w:tcPr>
          <w:p>
            <w:pPr>
              <w:jc w:val="center"/>
            </w:pPr>
            <w:r>
              <w:rPr>
                <w:rFonts w:ascii="Arial" w:cs="Arial" w:eastAsia="Arial" w:hAnsi="Arial"/>
                <w:b/>
                <w:bCs/>
                <w:caps/>
                <w:color w:val="EC7000"/>
                <w:sz w:val="18"/>
                <w:szCs w:val="18"/>
              </w:rPr>
              <w:t xml:space="preserve">STATUS</w:t>
            </w:r>
          </w:p>
          <w:p>
            <w:pPr>
              <w:jc w:val="center"/>
            </w:pPr>
            <w:r>
              <w:rPr>
                <w:rFonts w:ascii="Arial" w:cs="Arial" w:eastAsia="Arial" w:hAnsi="Arial"/>
                <w:color w:val="C55A11"/>
                <w:sz w:val="20"/>
                <w:szCs w:val="20"/>
              </w:rPr>
              <w:t xml:space="preserve">Draft — Revisão Interna</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F5A800" w:val="clear"/>
            <w:tcMar>
              <w:top w:type="dxa" w:w="0"/>
              <w:left w:type="dxa" w:w="0"/>
              <w:bottom w:type="dxa" w:w="0"/>
              <w:right w:type="dxa" w:w="0"/>
            </w:tcMar>
          </w:tcPr>
          <w:p>
            <w:r>
              <w:t xml:space="preserve"/>
            </w:r>
          </w:p>
        </w:tc>
        <w:tc>
          <w:tcPr>
            <w:tcW w:type="dxa" w:w="6240"/>
            <w:tcBorders>
              <w:top w:val="none" w:color="FFFFFF" w:sz="0"/>
              <w:left w:val="none" w:color="FFFFFF" w:sz="0"/>
              <w:bottom w:val="none" w:color="FFFFFF" w:sz="0"/>
              <w:right w:val="none" w:color="FFFFFF" w:sz="0"/>
            </w:tcBorders>
            <w:shd w:fill="EC7000" w:val="clear"/>
            <w:tcMar>
              <w:top w:type="dxa" w:w="0"/>
              <w:left w:type="dxa" w:w="0"/>
              <w:bottom w:type="dxa" w:w="0"/>
              <w:right w:type="dxa" w:w="0"/>
            </w:tcMar>
          </w:tcPr>
          <w:p>
            <w: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C7000" w:val="clear"/>
            <w:tcMar>
              <w:top w:type="dxa" w:w="0"/>
              <w:left w:type="dxa" w:w="0"/>
              <w:bottom w:type="dxa" w:w="0"/>
              <w:right w:type="dxa" w:w="0"/>
            </w:tcMar>
          </w:tcPr>
          <w:p>
            <w:r>
              <w:t xml:space="preserve"/>
            </w:r>
          </w:p>
        </w:tc>
        <w:tc>
          <w:tcPr>
            <w:tcW w:type="dxa" w:w="8880"/>
            <w:tcBorders>
              <w:top w:val="none" w:color="FFFFFF" w:sz="0"/>
              <w:left w:val="none" w:color="FFFFFF" w:sz="0"/>
              <w:bottom w:val="none" w:color="FFFFFF" w:sz="0"/>
              <w:right w:val="none" w:color="FFFFFF" w:sz="0"/>
            </w:tcBorders>
            <w:shd w:fill="003087" w:val="clear"/>
            <w:tcMar>
              <w:top w:type="dxa" w:w="140"/>
              <w:left w:type="dxa" w:w="280"/>
              <w:bottom w:type="dxa" w:w="140"/>
              <w:right w:type="dxa" w:w="280"/>
            </w:tcMar>
          </w:tcPr>
          <w:p>
            <w:r>
              <w:rPr>
                <w:rFonts w:ascii="Arial" w:cs="Arial" w:eastAsia="Arial" w:hAnsi="Arial"/>
                <w:b/>
                <w:bCs/>
                <w:caps/>
                <w:color w:val="FFFFFF"/>
                <w:sz w:val="28"/>
                <w:szCs w:val="28"/>
              </w:rPr>
              <w:t xml:space="preserve">1. Resumo Executivo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C7000"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FDE8D0" w:val="clear"/>
            <w:tcMar>
              <w:top w:type="dxa" w:w="140"/>
              <w:left w:type="dxa" w:w="240"/>
              <w:bottom w:type="dxa" w:w="140"/>
              <w:right w:type="dxa" w:w="240"/>
            </w:tcMar>
          </w:tcPr>
          <w:p>
            <w:pPr>
              <w:spacing w:after="60" w:before="0"/>
            </w:pPr>
            <w:r>
              <w:rPr>
                <w:rFonts w:ascii="Arial" w:cs="Arial" w:eastAsia="Arial" w:hAnsi="Arial"/>
                <w:b/>
                <w:bCs/>
                <w:caps/>
                <w:color w:val="EC7000"/>
                <w:sz w:val="20"/>
                <w:szCs w:val="20"/>
              </w:rPr>
              <w:t xml:space="preserve">O Produto em Uma Sentença</w:t>
            </w:r>
          </w:p>
          <w:p>
            <w:pPr>
              <w:spacing w:after="0" w:before="0"/>
              <w:jc w:val="both"/>
            </w:pPr>
            <w:r>
              <w:rPr>
                <w:rFonts w:ascii="Arial" w:cs="Arial" w:eastAsia="Arial" w:hAnsi="Arial"/>
                <w:i/>
                <w:iCs/>
                <w:color w:val="333333"/>
                <w:sz w:val="22"/>
                <w:szCs w:val="22"/>
              </w:rPr>
              <w:t xml:space="preserve">RessonâncIA é uma plataforma de inteligência de dados, com IA embarcada, que realiza um diagnóstico profundo e holístico da saúde de cada conta contábil do Itaú — transformando dados operacionais dispersos em um score objetivo, comparável e acionável, que guia o time de Build na priorização e resolução dos maiores GAPs contábeis do banco.</w:t>
            </w:r>
          </w:p>
        </w:tc>
      </w:tr>
    </w:tbl>
    <w:p>
      <w:pPr>
        <w:spacing w:after="0" w:before="160"/>
      </w:pPr>
      <w:r>
        <w:t xml:space="preserve"/>
      </w:r>
    </w:p>
    <w:p>
      <w:pPr>
        <w:spacing w:after="120" w:before="60"/>
        <w:jc w:val="both"/>
      </w:pPr>
      <w:r>
        <w:rPr>
          <w:rFonts w:ascii="Arial" w:cs="Arial" w:eastAsia="Arial" w:hAnsi="Arial"/>
          <w:b w:val="false"/>
          <w:bCs w:val="false"/>
          <w:i w:val="false"/>
          <w:iCs w:val="false"/>
          <w:color w:val="333333"/>
          <w:sz w:val="22"/>
          <w:szCs w:val="22"/>
        </w:rPr>
        <w:t xml:space="preserve">Assim como a ressonância magnética realiza um diagnóstico não-invasivo e detalhado do interior do corpo humano, o RessonâncIA examina cada conta contábil em profundidade — olhando para múltiplas dimensões ao mesmo tempo — para revelar a sua saúde real, independentemente do que aparece na superfície.</w:t>
      </w:r>
    </w:p>
    <w:p>
      <w:pPr>
        <w:spacing w:after="120" w:before="60"/>
        <w:jc w:val="both"/>
      </w:pPr>
      <w:r>
        <w:rPr>
          <w:rFonts w:ascii="Arial" w:cs="Arial" w:eastAsia="Arial" w:hAnsi="Arial"/>
          <w:b w:val="false"/>
          <w:bCs w:val="false"/>
          <w:i w:val="false"/>
          <w:iCs w:val="false"/>
          <w:color w:val="333333"/>
          <w:sz w:val="22"/>
          <w:szCs w:val="22"/>
        </w:rPr>
        <w:t xml:space="preserve">O produto não concilia, não lança, não roteiriza e não regulariza. Ele diagnostica. E a partir desse diagnóstico, habilita conversas estratégicas com os produtos que geram dados para a contabilização — criando a ponte entre o estado atual das contas e o programa de modernização para AWS até 2028.</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C7000" w:val="clear"/>
            <w:tcMar>
              <w:top w:type="dxa" w:w="0"/>
              <w:left w:type="dxa" w:w="0"/>
              <w:bottom w:type="dxa" w:w="0"/>
              <w:right w:type="dxa" w:w="0"/>
            </w:tcMar>
          </w:tcPr>
          <w:p>
            <w:r>
              <w:t xml:space="preserve"/>
            </w:r>
          </w:p>
        </w:tc>
        <w:tc>
          <w:tcPr>
            <w:tcW w:type="dxa" w:w="8880"/>
            <w:tcBorders>
              <w:top w:val="none" w:color="FFFFFF" w:sz="0"/>
              <w:left w:val="none" w:color="FFFFFF" w:sz="0"/>
              <w:bottom w:val="none" w:color="FFFFFF" w:sz="0"/>
              <w:right w:val="none" w:color="FFFFFF" w:sz="0"/>
            </w:tcBorders>
            <w:shd w:fill="003087" w:val="clear"/>
            <w:tcMar>
              <w:top w:type="dxa" w:w="140"/>
              <w:left w:type="dxa" w:w="280"/>
              <w:bottom w:type="dxa" w:w="140"/>
              <w:right w:type="dxa" w:w="280"/>
            </w:tcMar>
          </w:tcPr>
          <w:p>
            <w:r>
              <w:rPr>
                <w:rFonts w:ascii="Arial" w:cs="Arial" w:eastAsia="Arial" w:hAnsi="Arial"/>
                <w:b/>
                <w:bCs/>
                <w:caps/>
                <w:color w:val="FFFFFF"/>
                <w:sz w:val="28"/>
                <w:szCs w:val="28"/>
              </w:rPr>
              <w:t xml:space="preserve">2. Contexto e Problema</w:t>
            </w:r>
          </w:p>
        </w:tc>
      </w:tr>
    </w:tbl>
    <w:p>
      <w:pPr>
        <w:spacing w:after="0" w:before="120"/>
      </w:pPr>
      <w:r>
        <w:t xml:space="preserve"/>
      </w:r>
    </w:p>
    <w:p>
      <w:pPr>
        <w:pStyle w:val="Heading2"/>
        <w:spacing w:after="80" w:before="240"/>
      </w:pPr>
      <w:r>
        <w:rPr>
          <w:rFonts w:ascii="Arial" w:cs="Arial" w:eastAsia="Arial" w:hAnsi="Arial"/>
          <w:b/>
          <w:bCs/>
          <w:color w:val="EC7000"/>
          <w:sz w:val="26"/>
          <w:szCs w:val="26"/>
        </w:rPr>
        <w:t xml:space="preserve">2.1 O Ecossistema Contábil do Itaú</w:t>
      </w:r>
    </w:p>
    <w:p>
      <w:pPr>
        <w:spacing w:after="120" w:before="60"/>
        <w:jc w:val="both"/>
      </w:pPr>
      <w:r>
        <w:rPr>
          <w:rFonts w:ascii="Arial" w:cs="Arial" w:eastAsia="Arial" w:hAnsi="Arial"/>
          <w:b w:val="false"/>
          <w:bCs w:val="false"/>
          <w:i w:val="false"/>
          <w:iCs w:val="false"/>
          <w:color w:val="333333"/>
          <w:sz w:val="22"/>
          <w:szCs w:val="22"/>
        </w:rPr>
        <w:t xml:space="preserve">O ecossistema contábil do Itaú opera sobre uma infraestrutura tecnológica heterogênea, resultado de décadas de evolução e aquisições. Convivem, em paralelo, sistemas de roteirização de gerações distintas: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C7000" w:sz="1"/>
              <w:left w:val="single" w:color="EC7000" w:sz="1"/>
              <w:bottom w:val="single" w:color="EC7000" w:sz="1"/>
              <w:right w:val="single" w:color="EC7000" w:sz="1"/>
            </w:tcBorders>
            <w:shd w:fill="003087" w:val="clear"/>
            <w:tcMar>
              <w:top w:type="dxa" w:w="80"/>
              <w:left w:type="dxa" w:w="160"/>
              <w:bottom w:type="dxa" w:w="80"/>
              <w:right w:type="dxa" w:w="160"/>
            </w:tcMar>
          </w:tcPr>
          <w:p>
            <w:r>
              <w:rPr>
                <w:rFonts w:ascii="Arial" w:cs="Arial" w:eastAsia="Arial" w:hAnsi="Arial"/>
                <w:b/>
                <w:bCs/>
                <w:color w:val="FFFFFF"/>
                <w:sz w:val="22"/>
                <w:szCs w:val="22"/>
              </w:rPr>
              <w:t xml:space="preserve">Sistemas Legados de Roteirização</w:t>
            </w:r>
          </w:p>
        </w:tc>
        <w:tc>
          <w:tcPr>
            <w:tcW w:type="dxa" w:w="4680"/>
            <w:tcBorders>
              <w:top w:val="single" w:color="EC7000" w:sz="1"/>
              <w:left w:val="single" w:color="EC7000" w:sz="1"/>
              <w:bottom w:val="single" w:color="EC7000" w:sz="1"/>
              <w:right w:val="single" w:color="EC7000" w:sz="1"/>
            </w:tcBorders>
            <w:shd w:fill="EC7000" w:val="clear"/>
            <w:tcMar>
              <w:top w:type="dxa" w:w="80"/>
              <w:left w:type="dxa" w:w="160"/>
              <w:bottom w:type="dxa" w:w="80"/>
              <w:right w:type="dxa" w:w="160"/>
            </w:tcMar>
          </w:tcPr>
          <w:p>
            <w:r>
              <w:rPr>
                <w:rFonts w:ascii="Arial" w:cs="Arial" w:eastAsia="Arial" w:hAnsi="Arial"/>
                <w:b/>
                <w:bCs/>
                <w:color w:val="FFFFFF"/>
                <w:sz w:val="22"/>
                <w:szCs w:val="22"/>
              </w:rPr>
              <w:t xml:space="preserve">Sistemas Modernizados de Roteirização</w:t>
            </w:r>
          </w:p>
        </w:tc>
      </w:tr>
      <w:tr>
        <w:tc>
          <w:tcPr>
            <w:tcW w:type="dxa" w:w="4680"/>
            <w:tcBorders>
              <w:top w:val="single" w:color="D0D0D0" w:sz="1"/>
              <w:left w:val="single" w:color="D0D0D0" w:sz="1"/>
              <w:bottom w:val="single" w:color="D0D0D0" w:sz="1"/>
              <w:right w:val="single" w:color="D0D0D0" w:sz="1"/>
            </w:tcBorders>
            <w:shd w:fill="D6E0F0" w:val="clear"/>
            <w:tcMar>
              <w:top w:type="dxa" w:w="100"/>
              <w:left w:type="dxa" w:w="160"/>
              <w:bottom w:type="dxa" w:w="100"/>
              <w:right w:type="dxa" w:w="160"/>
            </w:tcMar>
          </w:tcPr>
          <w:p>
            <w:pPr>
              <w:spacing w:after="40" w:before="0"/>
            </w:pPr>
            <w:r>
              <w:rPr>
                <w:rFonts w:ascii="Arial" w:cs="Arial" w:eastAsia="Arial" w:hAnsi="Arial"/>
                <w:b/>
                <w:bCs/>
                <w:color w:val="003087"/>
                <w:sz w:val="24"/>
                <w:szCs w:val="24"/>
              </w:rPr>
              <w:t xml:space="preserve">BG</w:t>
            </w:r>
          </w:p>
          <w:p>
            <w:pPr>
              <w:spacing w:after="40" w:before="0"/>
            </w:pPr>
            <w:r>
              <w:rPr>
                <w:rFonts w:ascii="Arial" w:cs="Arial" w:eastAsia="Arial" w:hAnsi="Arial"/>
                <w:b/>
                <w:bCs/>
                <w:color w:val="003087"/>
                <w:sz w:val="24"/>
                <w:szCs w:val="24"/>
              </w:rPr>
              <w:t xml:space="preserve">PO / P6</w:t>
            </w:r>
          </w:p>
          <w:p>
            <w:pPr>
              <w:spacing w:after="0" w:before="60"/>
            </w:pPr>
            <w:r>
              <w:t xml:space="preserve"/>
            </w:r>
          </w:p>
          <w:p>
            <w:r>
              <w:rPr>
                <w:rFonts w:ascii="Arial" w:cs="Arial" w:eastAsia="Arial" w:hAnsi="Arial"/>
                <w:i/>
                <w:iCs/>
                <w:color w:val="666666"/>
                <w:sz w:val="20"/>
                <w:szCs w:val="20"/>
              </w:rPr>
              <w:t xml:space="preserve">Estruturas antigas, com menor aderência a chaves de conciliação padronizadas e maior dependência de lançamentos manuais.</w:t>
            </w:r>
          </w:p>
        </w:tc>
        <w:tc>
          <w:tcPr>
            <w:tcW w:type="dxa" w:w="4680"/>
            <w:tcBorders>
              <w:top w:val="single" w:color="D0D0D0" w:sz="1"/>
              <w:left w:val="single" w:color="D0D0D0" w:sz="1"/>
              <w:bottom w:val="single" w:color="D0D0D0" w:sz="1"/>
              <w:right w:val="single" w:color="D0D0D0" w:sz="1"/>
            </w:tcBorders>
            <w:shd w:fill="FDE8D0" w:val="clear"/>
            <w:tcMar>
              <w:top w:type="dxa" w:w="100"/>
              <w:left w:type="dxa" w:w="160"/>
              <w:bottom w:type="dxa" w:w="100"/>
              <w:right w:type="dxa" w:w="160"/>
            </w:tcMar>
          </w:tcPr>
          <w:p>
            <w:pPr>
              <w:spacing w:after="40" w:before="0"/>
            </w:pPr>
            <w:r>
              <w:rPr>
                <w:rFonts w:ascii="Arial" w:cs="Arial" w:eastAsia="Arial" w:hAnsi="Arial"/>
                <w:b/>
                <w:bCs/>
                <w:color w:val="EC7000"/>
                <w:sz w:val="24"/>
                <w:szCs w:val="24"/>
              </w:rPr>
              <w:t xml:space="preserve">DW6</w:t>
            </w:r>
          </w:p>
          <w:p>
            <w:pPr>
              <w:spacing w:after="40" w:before="0"/>
            </w:pPr>
            <w:r>
              <w:rPr>
                <w:rFonts w:ascii="Arial" w:cs="Arial" w:eastAsia="Arial" w:hAnsi="Arial"/>
                <w:b/>
                <w:bCs/>
                <w:color w:val="EC7000"/>
                <w:sz w:val="24"/>
                <w:szCs w:val="24"/>
              </w:rPr>
              <w:t xml:space="preserve">BG+</w:t>
            </w:r>
          </w:p>
          <w:p>
            <w:pPr>
              <w:spacing w:after="40" w:before="0"/>
            </w:pPr>
            <w:r>
              <w:rPr>
                <w:rFonts w:ascii="Arial" w:cs="Arial" w:eastAsia="Arial" w:hAnsi="Arial"/>
                <w:b/>
                <w:bCs/>
                <w:color w:val="EC7000"/>
                <w:sz w:val="24"/>
                <w:szCs w:val="24"/>
              </w:rPr>
              <w:t xml:space="preserve">PO+</w:t>
            </w:r>
          </w:p>
          <w:p>
            <w:pPr>
              <w:spacing w:after="0" w:before="60"/>
            </w:pPr>
            <w:r>
              <w:t xml:space="preserve"/>
            </w:r>
          </w:p>
          <w:p>
            <w:r>
              <w:rPr>
                <w:rFonts w:ascii="Arial" w:cs="Arial" w:eastAsia="Arial" w:hAnsi="Arial"/>
                <w:i/>
                <w:iCs/>
                <w:color w:val="666666"/>
                <w:sz w:val="20"/>
                <w:szCs w:val="20"/>
              </w:rPr>
              <w:t xml:space="preserve">Plataformas de nova geração, com melhor rastreabilidade, automação e compatibilidade com o modelo contábil esperado.</w:t>
            </w:r>
          </w:p>
        </w:tc>
      </w:tr>
    </w:tbl>
    <w:p>
      <w:pPr>
        <w:spacing w:after="0" w:before="160"/>
      </w:pPr>
      <w:r>
        <w:t xml:space="preserve"/>
      </w:r>
    </w:p>
    <w:p>
      <w:pPr>
        <w:pStyle w:val="Heading2"/>
        <w:spacing w:after="80" w:before="240"/>
      </w:pPr>
      <w:r>
        <w:rPr>
          <w:rFonts w:ascii="Arial" w:cs="Arial" w:eastAsia="Arial" w:hAnsi="Arial"/>
          <w:b/>
          <w:bCs/>
          <w:color w:val="EC7000"/>
          <w:sz w:val="26"/>
          <w:szCs w:val="26"/>
        </w:rPr>
        <w:t xml:space="preserve">2.2 As Dores Estruturais</w:t>
      </w:r>
    </w:p>
    <w:p>
      <w:pPr>
        <w:spacing w:after="120" w:before="60"/>
        <w:jc w:val="both"/>
      </w:pPr>
      <w:r>
        <w:rPr>
          <w:rFonts w:ascii="Arial" w:cs="Arial" w:eastAsia="Arial" w:hAnsi="Arial"/>
          <w:b w:val="false"/>
          <w:bCs w:val="false"/>
          <w:i w:val="false"/>
          <w:iCs w:val="false"/>
          <w:color w:val="333333"/>
          <w:sz w:val="22"/>
          <w:szCs w:val="22"/>
        </w:rPr>
        <w:t xml:space="preserve">A convivência entre gerações tecnológicas cria três dores estruturais que o RessonâncIA se propõe a endereçar:</w:t>
      </w:r>
    </w:p>
    <w:p>
      <w:pPr>
        <w:spacing w:after="0" w:before="80"/>
      </w:pPr>
      <w:r>
        <w:t xml:space="preserve"/>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Ausência de diagnóstico objetivo da conta contábil</w:t>
      </w:r>
      <w:r>
        <w:rPr>
          <w:rFonts w:ascii="Arial" w:cs="Arial" w:eastAsia="Arial" w:hAnsi="Arial"/>
          <w:i/>
          <w:iCs/>
          <w:color w:val="666666"/>
          <w:sz w:val="20"/>
          <w:szCs w:val="20"/>
        </w:rPr>
        <w:t xml:space="preserve">  — Hoje não existe um processo ou ferramenta que avalie sistematicamente a saúde de cada conta contábil em suas múltiplas dimensões. O conhecimento é tácito, disperso e dependente de especialistas escassos.</w:t>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GAPs contábeis invisíveis nos produtos</w:t>
      </w:r>
      <w:r>
        <w:rPr>
          <w:rFonts w:ascii="Arial" w:cs="Arial" w:eastAsia="Arial" w:hAnsi="Arial"/>
          <w:i/>
          <w:iCs/>
          <w:color w:val="666666"/>
          <w:sz w:val="20"/>
          <w:szCs w:val="20"/>
        </w:rPr>
        <w:t xml:space="preserve">  — Quando um produto não contempla sistemicamente todos os eventos de negócio na contabilização, o gap aparece como lançamentos manuais — um sintoma de que o produto ainda não está completo do ponto de vista contábil. Sem um diagnóstico centralizado, esses gaps permanecem ocultos.</w:t>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Meta de modernização sem linha de base clara</w:t>
      </w:r>
      <w:r>
        <w:rPr>
          <w:rFonts w:ascii="Arial" w:cs="Arial" w:eastAsia="Arial" w:hAnsi="Arial"/>
          <w:i/>
          <w:iCs/>
          <w:color w:val="666666"/>
          <w:sz w:val="20"/>
          <w:szCs w:val="20"/>
        </w:rPr>
        <w:t xml:space="preserve">  — O Itaú tem como meta ter todos os sistemas modernizados na AWS até 2028. Porém, sem uma fotografia precisa do estado atual de cada conta contábil, há risco de que problemas existentes nos sistemas legados sejam carregados para os sistemas modernos sem resolução.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C7000" w:val="clear"/>
            <w:tcMar>
              <w:top w:type="dxa" w:w="0"/>
              <w:left w:type="dxa" w:w="0"/>
              <w:bottom w:type="dxa" w:w="0"/>
              <w:right w:type="dxa" w:w="0"/>
            </w:tcMar>
          </w:tcPr>
          <w:p>
            <w:r>
              <w:t xml:space="preserve"/>
            </w:r>
          </w:p>
        </w:tc>
        <w:tc>
          <w:tcPr>
            <w:tcW w:type="dxa" w:w="8880"/>
            <w:tcBorders>
              <w:top w:val="none" w:color="FFFFFF" w:sz="0"/>
              <w:left w:val="none" w:color="FFFFFF" w:sz="0"/>
              <w:bottom w:val="none" w:color="FFFFFF" w:sz="0"/>
              <w:right w:val="none" w:color="FFFFFF" w:sz="0"/>
            </w:tcBorders>
            <w:shd w:fill="003087" w:val="clear"/>
            <w:tcMar>
              <w:top w:type="dxa" w:w="140"/>
              <w:left w:type="dxa" w:w="280"/>
              <w:bottom w:type="dxa" w:w="140"/>
              <w:right w:type="dxa" w:w="280"/>
            </w:tcMar>
          </w:tcPr>
          <w:p>
            <w:r>
              <w:rPr>
                <w:rFonts w:ascii="Arial" w:cs="Arial" w:eastAsia="Arial" w:hAnsi="Arial"/>
                <w:b/>
                <w:bCs/>
                <w:caps/>
                <w:color w:val="FFFFFF"/>
                <w:sz w:val="28"/>
                <w:szCs w:val="28"/>
              </w:rPr>
              <w:t xml:space="preserve">3. Visão do Produto</w:t>
            </w:r>
          </w:p>
        </w:tc>
      </w:tr>
    </w:tbl>
    <w:p>
      <w:pPr>
        <w:spacing w:after="0" w:before="120"/>
      </w:pPr>
      <w:r>
        <w:t xml:space="preserve"/>
      </w:r>
    </w:p>
    <w:p>
      <w:pPr>
        <w:pStyle w:val="Heading2"/>
        <w:spacing w:after="80" w:before="240"/>
      </w:pPr>
      <w:r>
        <w:rPr>
          <w:rFonts w:ascii="Arial" w:cs="Arial" w:eastAsia="Arial" w:hAnsi="Arial"/>
          <w:b/>
          <w:bCs/>
          <w:color w:val="EC7000"/>
          <w:sz w:val="26"/>
          <w:szCs w:val="26"/>
        </w:rPr>
        <w:t xml:space="preserve">3.1 Declaração de Visão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C7000"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FDE8D0" w:val="clear"/>
            <w:tcMar>
              <w:top w:type="dxa" w:w="140"/>
              <w:left w:type="dxa" w:w="240"/>
              <w:bottom w:type="dxa" w:w="140"/>
              <w:right w:type="dxa" w:w="240"/>
            </w:tcMar>
          </w:tcPr>
          <w:p>
            <w:pPr>
              <w:spacing w:after="60" w:before="0"/>
            </w:pPr>
            <w:r>
              <w:rPr>
                <w:rFonts w:ascii="Arial" w:cs="Arial" w:eastAsia="Arial" w:hAnsi="Arial"/>
                <w:b/>
                <w:bCs/>
                <w:caps/>
                <w:color w:val="EC7000"/>
                <w:sz w:val="20"/>
                <w:szCs w:val="20"/>
              </w:rPr>
              <w:t xml:space="preserve">Nossa Visão</w:t>
            </w:r>
          </w:p>
          <w:p>
            <w:pPr>
              <w:spacing w:after="0" w:before="0"/>
              <w:jc w:val="both"/>
            </w:pPr>
            <w:r>
              <w:rPr>
                <w:rFonts w:ascii="Arial" w:cs="Arial" w:eastAsia="Arial" w:hAnsi="Arial"/>
                <w:i/>
                <w:iCs/>
                <w:color w:val="333333"/>
                <w:sz w:val="22"/>
                <w:szCs w:val="22"/>
              </w:rPr>
              <w:t xml:space="preserve">Ser a inteligência de dados que revela, com profundidade e objetividade, a saúde real de cada conta contábil do Itaú — habilitando o time de Build a agir de forma priorizada e estratégica na resolução dos GAPs contábeis, e garantindo que a jornada de modernização para AWS chegue a 2028 com contas mais saudáveis, rastreáveis e aderentes ao modelo contábil esperado.</w:t>
            </w:r>
          </w:p>
        </w:tc>
      </w:tr>
    </w:tbl>
    <w:p>
      <w:pPr>
        <w:spacing w:after="0" w:before="160"/>
      </w:pPr>
      <w:r>
        <w:t xml:space="preserve"/>
      </w:r>
    </w:p>
    <w:p>
      <w:pPr>
        <w:pStyle w:val="Heading2"/>
        <w:spacing w:after="80" w:before="240"/>
      </w:pPr>
      <w:r>
        <w:rPr>
          <w:rFonts w:ascii="Arial" w:cs="Arial" w:eastAsia="Arial" w:hAnsi="Arial"/>
          <w:b/>
          <w:bCs/>
          <w:color w:val="EC7000"/>
          <w:sz w:val="26"/>
          <w:szCs w:val="26"/>
        </w:rPr>
        <w:t xml:space="preserve">3.2 Por Que IA First?</w:t>
      </w:r>
    </w:p>
    <w:p>
      <w:pPr>
        <w:spacing w:after="120" w:before="60"/>
        <w:jc w:val="both"/>
      </w:pPr>
      <w:r>
        <w:rPr>
          <w:rFonts w:ascii="Arial" w:cs="Arial" w:eastAsia="Arial" w:hAnsi="Arial"/>
          <w:b w:val="false"/>
          <w:bCs w:val="false"/>
          <w:i w:val="false"/>
          <w:iCs w:val="false"/>
          <w:color w:val="333333"/>
          <w:sz w:val="22"/>
          <w:szCs w:val="22"/>
        </w:rPr>
        <w:t xml:space="preserve">O RessonâncIA nasce como um produto IA First por três razões fundamentais:</w:t>
      </w:r>
    </w:p>
    <w:p>
      <w:pPr>
        <w:spacing w:after="0" w:before="60"/>
      </w:pPr>
      <w:r>
        <w:t xml:space="preserve"/>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Volume e complexidade impossíveis de tratar manualmente</w:t>
      </w:r>
      <w:r>
        <w:rPr>
          <w:rFonts w:ascii="Arial" w:cs="Arial" w:eastAsia="Arial" w:hAnsi="Arial"/>
          <w:i/>
          <w:iCs/>
          <w:color w:val="666666"/>
          <w:sz w:val="20"/>
          <w:szCs w:val="20"/>
        </w:rPr>
        <w:t xml:space="preserve">  — O portfólio contábil do Itaú tem milhares de contas, com dezenas de atributos cada. Nenhuma equipe humana consegue monitorar isso com a frequência e consistência necessárias.</w:t>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Atributos do score são evolutivos</w:t>
      </w:r>
      <w:r>
        <w:rPr>
          <w:rFonts w:ascii="Arial" w:cs="Arial" w:eastAsia="Arial" w:hAnsi="Arial"/>
          <w:i/>
          <w:iCs/>
          <w:color w:val="666666"/>
          <w:sz w:val="20"/>
          <w:szCs w:val="20"/>
        </w:rPr>
        <w:t xml:space="preserve">  — À medida que novos padrões e relações de causa e efeito são descobertos, a IA incorpora esses aprendizados para refinar o diagnóstico — o modelo melhora com o tempo e com o uso.</w:t>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Geração de insights além do óbvio</w:t>
      </w:r>
      <w:r>
        <w:rPr>
          <w:rFonts w:ascii="Arial" w:cs="Arial" w:eastAsia="Arial" w:hAnsi="Arial"/>
          <w:i/>
          <w:iCs/>
          <w:color w:val="666666"/>
          <w:sz w:val="20"/>
          <w:szCs w:val="20"/>
        </w:rPr>
        <w:t xml:space="preserve">  — A IA identifica padrões de deterioração antes que se tornem críticos, correlaciona contas com características similares e sugere próximas ações com base no histórico de intervenções bem-sucedidas.</w:t>
      </w:r>
    </w:p>
    <w:p>
      <w:pPr>
        <w:spacing w:after="0" w:before="120"/>
      </w:pPr>
      <w:r>
        <w:t xml:space="preserve"/>
      </w:r>
    </w:p>
    <w:p>
      <w:pPr>
        <w:pStyle w:val="Heading2"/>
        <w:spacing w:after="80" w:before="240"/>
      </w:pPr>
      <w:r>
        <w:rPr>
          <w:rFonts w:ascii="Arial" w:cs="Arial" w:eastAsia="Arial" w:hAnsi="Arial"/>
          <w:b/>
          <w:bCs/>
          <w:color w:val="EC7000"/>
          <w:sz w:val="26"/>
          <w:szCs w:val="26"/>
        </w:rPr>
        <w:t xml:space="preserve">3.3 O Que o RessonâncIA NÃO É</w:t>
      </w:r>
    </w:p>
    <w:p>
      <w:pPr>
        <w:spacing w:after="120" w:before="60"/>
        <w:jc w:val="both"/>
      </w:pPr>
      <w:r>
        <w:rPr>
          <w:rFonts w:ascii="Arial" w:cs="Arial" w:eastAsia="Arial" w:hAnsi="Arial"/>
          <w:b w:val="false"/>
          <w:bCs w:val="false"/>
          <w:i w:val="false"/>
          <w:iCs w:val="false"/>
          <w:color w:val="333333"/>
          <w:sz w:val="22"/>
          <w:szCs w:val="22"/>
        </w:rPr>
        <w:t xml:space="preserve">Para evitar desvios de escopo e comunicar clareza aos stakeholders, é fundamental delimitar o que o RessonâncIA não é:</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0D0" w:sz="1"/>
              <w:left w:val="single" w:color="D0D0D0" w:sz="1"/>
              <w:bottom w:val="single" w:color="D0D0D0" w:sz="1"/>
              <w:right w:val="single" w:color="D0D0D0" w:sz="1"/>
            </w:tcBorders>
            <w:shd w:fill="003087" w:val="clear"/>
            <w:tcMar>
              <w:top w:type="dxa" w:w="80"/>
              <w:left w:type="dxa" w:w="160"/>
              <w:bottom w:type="dxa" w:w="80"/>
              <w:right w:type="dxa" w:w="160"/>
            </w:tcMar>
          </w:tcPr>
          <w:p>
            <w:r>
              <w:rPr>
                <w:rFonts w:ascii="Arial" w:cs="Arial" w:eastAsia="Arial" w:hAnsi="Arial"/>
                <w:b/>
                <w:bCs/>
                <w:color w:val="FFFFFF"/>
                <w:sz w:val="22"/>
                <w:szCs w:val="22"/>
              </w:rPr>
              <w:t xml:space="preserve">Não é...</w:t>
            </w:r>
          </w:p>
        </w:tc>
        <w:tc>
          <w:tcPr>
            <w:tcW w:type="dxa" w:w="4680"/>
            <w:tcBorders>
              <w:top w:val="single" w:color="D0D0D0" w:sz="1"/>
              <w:left w:val="single" w:color="D0D0D0" w:sz="1"/>
              <w:bottom w:val="single" w:color="D0D0D0" w:sz="1"/>
              <w:right w:val="single" w:color="D0D0D0" w:sz="1"/>
            </w:tcBorders>
            <w:shd w:fill="EC7000" w:val="clear"/>
            <w:tcMar>
              <w:top w:type="dxa" w:w="80"/>
              <w:left w:type="dxa" w:w="160"/>
              <w:bottom w:type="dxa" w:w="80"/>
              <w:right w:type="dxa" w:w="160"/>
            </w:tcMar>
          </w:tcPr>
          <w:p>
            <w:r>
              <w:rPr>
                <w:rFonts w:ascii="Arial" w:cs="Arial" w:eastAsia="Arial" w:hAnsi="Arial"/>
                <w:b/>
                <w:bCs/>
                <w:color w:val="FFFFFF"/>
                <w:sz w:val="22"/>
                <w:szCs w:val="22"/>
              </w:rPr>
              <w:t xml:space="preserve">É...</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i/>
                <w:iCs/>
                <w:color w:val="333333"/>
                <w:sz w:val="20"/>
                <w:szCs w:val="20"/>
              </w:rPr>
              <w:t xml:space="preserve">Um sistema de conciliação contábil</w:t>
            </w:r>
          </w:p>
        </w:tc>
        <w:tc>
          <w:tcPr>
            <w:tcW w:type="dxa" w:w="468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i w:val="false"/>
                <w:iCs w:val="false"/>
                <w:color w:val="333333"/>
                <w:sz w:val="20"/>
                <w:szCs w:val="20"/>
              </w:rPr>
              <w:t xml:space="preserve">Uma camada de diagnóstico e inteligência sobre as contas</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60"/>
              <w:bottom w:type="dxa" w:w="80"/>
              <w:right w:type="dxa" w:w="160"/>
            </w:tcMar>
          </w:tcPr>
          <w:p>
            <w:r>
              <w:rPr>
                <w:rFonts w:ascii="Arial" w:cs="Arial" w:eastAsia="Arial" w:hAnsi="Arial"/>
                <w:i/>
                <w:iCs/>
                <w:color w:val="333333"/>
                <w:sz w:val="20"/>
                <w:szCs w:val="20"/>
              </w:rPr>
              <w:t xml:space="preserve">Uma ferramenta de gestão de pendências</w:t>
            </w:r>
          </w:p>
        </w:tc>
        <w:tc>
          <w:tcPr>
            <w:tcW w:type="dxa" w:w="4680"/>
            <w:tcBorders>
              <w:top w:val="single" w:color="D0D0D0" w:sz="1"/>
              <w:left w:val="single" w:color="D0D0D0" w:sz="1"/>
              <w:bottom w:val="single" w:color="D0D0D0" w:sz="1"/>
              <w:right w:val="single" w:color="D0D0D0" w:sz="1"/>
            </w:tcBorders>
            <w:shd w:fill="F5F5F5" w:val="clear"/>
            <w:tcMar>
              <w:top w:type="dxa" w:w="80"/>
              <w:left w:type="dxa" w:w="160"/>
              <w:bottom w:type="dxa" w:w="80"/>
              <w:right w:type="dxa" w:w="160"/>
            </w:tcMar>
          </w:tcPr>
          <w:p>
            <w:r>
              <w:rPr>
                <w:rFonts w:ascii="Arial" w:cs="Arial" w:eastAsia="Arial" w:hAnsi="Arial"/>
                <w:i w:val="false"/>
                <w:iCs w:val="false"/>
                <w:color w:val="333333"/>
                <w:sz w:val="20"/>
                <w:szCs w:val="20"/>
              </w:rPr>
              <w:t xml:space="preserve">Uma visão estratégica da saúde estrutural de cada conta</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i/>
                <w:iCs/>
                <w:color w:val="333333"/>
                <w:sz w:val="20"/>
                <w:szCs w:val="20"/>
              </w:rPr>
              <w:t xml:space="preserve">Um sistema de regularização por lançamentos manuais</w:t>
            </w:r>
          </w:p>
        </w:tc>
        <w:tc>
          <w:tcPr>
            <w:tcW w:type="dxa" w:w="468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60"/>
            </w:tcMar>
          </w:tcPr>
          <w:p>
            <w:r>
              <w:rPr>
                <w:rFonts w:ascii="Arial" w:cs="Arial" w:eastAsia="Arial" w:hAnsi="Arial"/>
                <w:i w:val="false"/>
                <w:iCs w:val="false"/>
                <w:color w:val="333333"/>
                <w:sz w:val="20"/>
                <w:szCs w:val="20"/>
              </w:rPr>
              <w:t xml:space="preserve">Um sinalizador de onde lançamentos manuais indicam GAPs de produto</w:t>
            </w:r>
          </w:p>
        </w:tc>
      </w:tr>
      <w:tr>
        <w:tc>
          <w:tcPr>
            <w:tcW w:type="dxa" w:w="4680"/>
            <w:tcBorders>
              <w:top w:val="single" w:color="D0D0D0" w:sz="1"/>
              <w:left w:val="single" w:color="D0D0D0" w:sz="1"/>
              <w:bottom w:val="single" w:color="D0D0D0" w:sz="1"/>
              <w:right w:val="single" w:color="D0D0D0" w:sz="1"/>
            </w:tcBorders>
            <w:shd w:fill="F5F5F5" w:val="clear"/>
            <w:tcMar>
              <w:top w:type="dxa" w:w="80"/>
              <w:left w:type="dxa" w:w="160"/>
              <w:bottom w:type="dxa" w:w="80"/>
              <w:right w:type="dxa" w:w="160"/>
            </w:tcMar>
          </w:tcPr>
          <w:p>
            <w:r>
              <w:rPr>
                <w:rFonts w:ascii="Arial" w:cs="Arial" w:eastAsia="Arial" w:hAnsi="Arial"/>
                <w:i/>
                <w:iCs/>
                <w:color w:val="333333"/>
                <w:sz w:val="20"/>
                <w:szCs w:val="20"/>
              </w:rPr>
              <w:t xml:space="preserve">Um roteirizador contábil ou ledger</w:t>
            </w:r>
          </w:p>
        </w:tc>
        <w:tc>
          <w:tcPr>
            <w:tcW w:type="dxa" w:w="4680"/>
            <w:tcBorders>
              <w:top w:val="single" w:color="D0D0D0" w:sz="1"/>
              <w:left w:val="single" w:color="D0D0D0" w:sz="1"/>
              <w:bottom w:val="single" w:color="D0D0D0" w:sz="1"/>
              <w:right w:val="single" w:color="D0D0D0" w:sz="1"/>
            </w:tcBorders>
            <w:shd w:fill="F5F5F5" w:val="clear"/>
            <w:tcMar>
              <w:top w:type="dxa" w:w="80"/>
              <w:left w:type="dxa" w:w="160"/>
              <w:bottom w:type="dxa" w:w="80"/>
              <w:right w:type="dxa" w:w="160"/>
            </w:tcMar>
          </w:tcPr>
          <w:p>
            <w:r>
              <w:rPr>
                <w:rFonts w:ascii="Arial" w:cs="Arial" w:eastAsia="Arial" w:hAnsi="Arial"/>
                <w:i w:val="false"/>
                <w:iCs w:val="false"/>
                <w:color w:val="333333"/>
                <w:sz w:val="20"/>
                <w:szCs w:val="20"/>
              </w:rPr>
              <w:t xml:space="preserve">Uma plataforma de dados que consome e interpreta dados dos sistemas existentes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C7000" w:val="clear"/>
            <w:tcMar>
              <w:top w:type="dxa" w:w="0"/>
              <w:left w:type="dxa" w:w="0"/>
              <w:bottom w:type="dxa" w:w="0"/>
              <w:right w:type="dxa" w:w="0"/>
            </w:tcMar>
          </w:tcPr>
          <w:p>
            <w:r>
              <w:t xml:space="preserve"/>
            </w:r>
          </w:p>
        </w:tc>
        <w:tc>
          <w:tcPr>
            <w:tcW w:type="dxa" w:w="8880"/>
            <w:tcBorders>
              <w:top w:val="none" w:color="FFFFFF" w:sz="0"/>
              <w:left w:val="none" w:color="FFFFFF" w:sz="0"/>
              <w:bottom w:val="none" w:color="FFFFFF" w:sz="0"/>
              <w:right w:val="none" w:color="FFFFFF" w:sz="0"/>
            </w:tcBorders>
            <w:shd w:fill="003087" w:val="clear"/>
            <w:tcMar>
              <w:top w:type="dxa" w:w="140"/>
              <w:left w:type="dxa" w:w="280"/>
              <w:bottom w:type="dxa" w:w="140"/>
              <w:right w:type="dxa" w:w="280"/>
            </w:tcMar>
          </w:tcPr>
          <w:p>
            <w:r>
              <w:rPr>
                <w:rFonts w:ascii="Arial" w:cs="Arial" w:eastAsia="Arial" w:hAnsi="Arial"/>
                <w:b/>
                <w:bCs/>
                <w:caps/>
                <w:color w:val="FFFFFF"/>
                <w:sz w:val="28"/>
                <w:szCs w:val="28"/>
              </w:rPr>
              <w:t xml:space="preserve">4. Para Quem é o RessonâncIA</w:t>
            </w:r>
          </w:p>
        </w:tc>
      </w:tr>
    </w:tbl>
    <w:p>
      <w:pPr>
        <w:spacing w:after="0" w:before="120"/>
      </w:pPr>
      <w:r>
        <w:t xml:space="preserve"/>
      </w:r>
    </w:p>
    <w:p>
      <w:pPr>
        <w:spacing w:after="120" w:before="60"/>
        <w:jc w:val="both"/>
      </w:pPr>
      <w:r>
        <w:rPr>
          <w:rFonts w:ascii="Arial" w:cs="Arial" w:eastAsia="Arial" w:hAnsi="Arial"/>
          <w:b w:val="false"/>
          <w:bCs w:val="false"/>
          <w:i w:val="false"/>
          <w:iCs w:val="false"/>
          <w:color w:val="333333"/>
          <w:sz w:val="22"/>
          <w:szCs w:val="22"/>
        </w:rPr>
        <w:t xml:space="preserve">O RessonâncIA é desenhado para servir dois perfis principais, com papéis e necessidades distintos: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C7000" w:sz="1"/>
              <w:left w:val="single" w:color="EC7000" w:sz="1"/>
              <w:bottom w:val="single" w:color="EC7000" w:sz="1"/>
              <w:right w:val="single" w:color="EC7000" w:sz="1"/>
            </w:tcBorders>
            <w:shd w:fill="EC7000" w:val="clear"/>
            <w:tcMar>
              <w:top w:type="dxa" w:w="100"/>
              <w:left w:type="dxa" w:w="200"/>
              <w:bottom w:type="dxa" w:w="100"/>
              <w:right w:type="dxa" w:w="200"/>
            </w:tcMar>
          </w:tcPr>
          <w:p>
            <w:pPr>
              <w:spacing w:after="40" w:before="0"/>
              <w:jc w:val="center"/>
            </w:pPr>
            <w:r>
              <w:rPr>
                <w:rFonts w:ascii="Arial" w:cs="Arial" w:eastAsia="Arial" w:hAnsi="Arial"/>
                <w:b/>
                <w:bCs/>
                <w:caps/>
                <w:color w:val="FFFFFF"/>
                <w:sz w:val="28"/>
                <w:szCs w:val="28"/>
              </w:rPr>
              <w:t xml:space="preserve">BUILD</w:t>
            </w:r>
          </w:p>
          <w:p>
            <w:pPr>
              <w:jc w:val="center"/>
            </w:pPr>
            <w:r>
              <w:rPr>
                <w:rFonts w:ascii="Arial" w:cs="Arial" w:eastAsia="Arial" w:hAnsi="Arial"/>
                <w:i/>
                <w:iCs/>
                <w:color w:val="FFD0A0"/>
                <w:sz w:val="20"/>
                <w:szCs w:val="20"/>
              </w:rPr>
              <w:t xml:space="preserve">Usuário Principal</w:t>
            </w:r>
          </w:p>
        </w:tc>
        <w:tc>
          <w:tcPr>
            <w:tcW w:type="dxa" w:w="4680"/>
            <w:tcBorders>
              <w:top w:val="single" w:color="003087" w:sz="1"/>
              <w:left w:val="single" w:color="003087" w:sz="1"/>
              <w:bottom w:val="single" w:color="003087" w:sz="1"/>
              <w:right w:val="single" w:color="003087" w:sz="1"/>
            </w:tcBorders>
            <w:shd w:fill="003087" w:val="clear"/>
            <w:tcMar>
              <w:top w:type="dxa" w:w="100"/>
              <w:left w:type="dxa" w:w="200"/>
              <w:bottom w:type="dxa" w:w="100"/>
              <w:right w:type="dxa" w:w="200"/>
            </w:tcMar>
          </w:tcPr>
          <w:p>
            <w:pPr>
              <w:spacing w:after="40" w:before="0"/>
              <w:jc w:val="center"/>
            </w:pPr>
            <w:r>
              <w:rPr>
                <w:rFonts w:ascii="Arial" w:cs="Arial" w:eastAsia="Arial" w:hAnsi="Arial"/>
                <w:b/>
                <w:bCs/>
                <w:caps/>
                <w:color w:val="FFFFFF"/>
                <w:sz w:val="28"/>
                <w:szCs w:val="28"/>
              </w:rPr>
              <w:t xml:space="preserve">RUN  —  POF</w:t>
            </w:r>
          </w:p>
          <w:p>
            <w:pPr>
              <w:jc w:val="center"/>
            </w:pPr>
            <w:r>
              <w:rPr>
                <w:rFonts w:ascii="Arial" w:cs="Arial" w:eastAsia="Arial" w:hAnsi="Arial"/>
                <w:i/>
                <w:iCs/>
                <w:color w:val="A0C0E8"/>
                <w:sz w:val="20"/>
                <w:szCs w:val="20"/>
              </w:rPr>
              <w:t xml:space="preserve">Usuário Secundário</w:t>
            </w:r>
          </w:p>
        </w:tc>
      </w:tr>
      <w:tr>
        <w:tc>
          <w:tcPr>
            <w:tcW w:type="dxa" w:w="4680"/>
            <w:tcBorders>
              <w:top w:val="single" w:color="D0D0D0" w:sz="1"/>
              <w:left w:val="single" w:color="D0D0D0" w:sz="1"/>
              <w:bottom w:val="single" w:color="D0D0D0" w:sz="1"/>
              <w:right w:val="single" w:color="D0D0D0" w:sz="1"/>
            </w:tcBorders>
            <w:shd w:fill="FDE8D0" w:val="clear"/>
            <w:tcMar>
              <w:top w:type="dxa" w:w="120"/>
              <w:left w:type="dxa" w:w="200"/>
              <w:bottom w:type="dxa" w:w="120"/>
              <w:right w:type="dxa" w:w="200"/>
            </w:tcMar>
            <w:vAlign w:val="top"/>
          </w:tcPr>
          <w:p>
            <w:pPr>
              <w:spacing w:after="80" w:before="0"/>
            </w:pPr>
            <w:r>
              <w:rPr>
                <w:rFonts w:ascii="Arial" w:cs="Arial" w:eastAsia="Arial" w:hAnsi="Arial"/>
                <w:b/>
                <w:bCs/>
                <w:color w:val="EC7000"/>
                <w:sz w:val="20"/>
                <w:szCs w:val="20"/>
              </w:rPr>
              <w:t xml:space="preserve">Quem são:</w:t>
            </w:r>
          </w:p>
          <w:p>
            <w:pPr>
              <w:spacing w:after="100" w:before="0"/>
            </w:pPr>
            <w:r>
              <w:rPr>
                <w:rFonts w:ascii="Arial" w:cs="Arial" w:eastAsia="Arial" w:hAnsi="Arial"/>
                <w:color w:val="333333"/>
                <w:sz w:val="20"/>
                <w:szCs w:val="20"/>
              </w:rPr>
              <w:t xml:space="preserve">Times responsáveis pela modernização e evolução dos sistemas contábeis e dos produtos que alimentam a contabilização.</w:t>
            </w:r>
          </w:p>
          <w:p>
            <w:pPr>
              <w:spacing w:after="80" w:before="0"/>
            </w:pPr>
            <w:r>
              <w:rPr>
                <w:rFonts w:ascii="Arial" w:cs="Arial" w:eastAsia="Arial" w:hAnsi="Arial"/>
                <w:b/>
                <w:bCs/>
                <w:color w:val="EC7000"/>
                <w:sz w:val="20"/>
                <w:szCs w:val="20"/>
              </w:rPr>
              <w:t xml:space="preserve">Para que usam o RessonâncIA:</w:t>
            </w:r>
          </w:p>
          <w:p>
            <w:pPr>
              <w:spacing w:after="40" w:before="0"/>
            </w:pPr>
            <w:r>
              <w:rPr>
                <w:rFonts w:ascii="Arial" w:cs="Arial" w:eastAsia="Arial" w:hAnsi="Arial"/>
                <w:color w:val="333333"/>
                <w:sz w:val="20"/>
                <w:szCs w:val="20"/>
              </w:rPr>
              <w:t xml:space="preserve">● Identificar contas com maiores GAPs para priorizar intervenções</w:t>
            </w:r>
          </w:p>
          <w:p>
            <w:pPr>
              <w:spacing w:after="40" w:before="0"/>
            </w:pPr>
            <w:r>
              <w:rPr>
                <w:rFonts w:ascii="Arial" w:cs="Arial" w:eastAsia="Arial" w:hAnsi="Arial"/>
                <w:color w:val="333333"/>
                <w:sz w:val="20"/>
                <w:szCs w:val="20"/>
              </w:rPr>
              <w:t xml:space="preserve">● Chegar preparados ao acionamento para modernizações, já conhecendo os problemas daquela conta</w:t>
            </w:r>
          </w:p>
          <w:p>
            <w:pPr>
              <w:spacing w:after="40" w:before="0"/>
            </w:pPr>
            <w:r>
              <w:rPr>
                <w:rFonts w:ascii="Arial" w:cs="Arial" w:eastAsia="Arial" w:hAnsi="Arial"/>
                <w:color w:val="333333"/>
                <w:sz w:val="20"/>
                <w:szCs w:val="20"/>
              </w:rPr>
              <w:t xml:space="preserve">● Conduzir conversas estratégicas com os produtos que geram dados para a contabilização</w:t>
            </w:r>
          </w:p>
          <w:p>
            <w:pPr>
              <w:spacing w:after="40" w:before="0"/>
            </w:pPr>
            <w:r>
              <w:rPr>
                <w:rFonts w:ascii="Arial" w:cs="Arial" w:eastAsia="Arial" w:hAnsi="Arial"/>
                <w:color w:val="333333"/>
                <w:sz w:val="20"/>
                <w:szCs w:val="20"/>
              </w:rPr>
              <w:t xml:space="preserve">● Documentar o estado pré e pós modernização com evidências objetivas</w:t>
            </w:r>
          </w:p>
        </w:tc>
        <w:tc>
          <w:tcPr>
            <w:tcW w:type="dxa" w:w="4680"/>
            <w:tcBorders>
              <w:top w:val="single" w:color="D0D0D0" w:sz="1"/>
              <w:left w:val="single" w:color="D0D0D0" w:sz="1"/>
              <w:bottom w:val="single" w:color="D0D0D0" w:sz="1"/>
              <w:right w:val="single" w:color="D0D0D0" w:sz="1"/>
            </w:tcBorders>
            <w:shd w:fill="D6E0F0" w:val="clear"/>
            <w:tcMar>
              <w:top w:type="dxa" w:w="120"/>
              <w:left w:type="dxa" w:w="200"/>
              <w:bottom w:type="dxa" w:w="120"/>
              <w:right w:type="dxa" w:w="200"/>
            </w:tcMar>
            <w:vAlign w:val="top"/>
          </w:tcPr>
          <w:p>
            <w:pPr>
              <w:spacing w:after="80" w:before="0"/>
            </w:pPr>
            <w:r>
              <w:rPr>
                <w:rFonts w:ascii="Arial" w:cs="Arial" w:eastAsia="Arial" w:hAnsi="Arial"/>
                <w:b/>
                <w:bCs/>
                <w:color w:val="003087"/>
                <w:sz w:val="20"/>
                <w:szCs w:val="20"/>
              </w:rPr>
              <w:t xml:space="preserve">Quem são:</w:t>
            </w:r>
          </w:p>
          <w:p>
            <w:pPr>
              <w:spacing w:after="100" w:before="0"/>
            </w:pPr>
            <w:r>
              <w:rPr>
                <w:rFonts w:ascii="Arial" w:cs="Arial" w:eastAsia="Arial" w:hAnsi="Arial"/>
                <w:color w:val="333333"/>
                <w:sz w:val="20"/>
                <w:szCs w:val="20"/>
              </w:rPr>
              <w:t xml:space="preserve">Analistas de Conciliação e Gestão de Pendência (POF) — responsáveis pelo day-to-day da operação contábil.</w:t>
            </w:r>
          </w:p>
          <w:p>
            <w:pPr>
              <w:spacing w:after="80" w:before="0"/>
            </w:pPr>
            <w:r>
              <w:rPr>
                <w:rFonts w:ascii="Arial" w:cs="Arial" w:eastAsia="Arial" w:hAnsi="Arial"/>
                <w:b/>
                <w:bCs/>
                <w:color w:val="003087"/>
                <w:sz w:val="20"/>
                <w:szCs w:val="20"/>
              </w:rPr>
              <w:t xml:space="preserve">Para que usam o RessonâncIA:</w:t>
            </w:r>
          </w:p>
          <w:p>
            <w:pPr>
              <w:spacing w:after="40" w:before="0"/>
            </w:pPr>
            <w:r>
              <w:rPr>
                <w:rFonts w:ascii="Arial" w:cs="Arial" w:eastAsia="Arial" w:hAnsi="Arial"/>
                <w:color w:val="333333"/>
                <w:sz w:val="20"/>
                <w:szCs w:val="20"/>
              </w:rPr>
              <w:t xml:space="preserve">● Acompanhar a evolução da saúde das contas que operam</w:t>
            </w:r>
          </w:p>
          <w:p>
            <w:pPr>
              <w:spacing w:after="40" w:before="0"/>
            </w:pPr>
            <w:r>
              <w:rPr>
                <w:rFonts w:ascii="Arial" w:cs="Arial" w:eastAsia="Arial" w:hAnsi="Arial"/>
                <w:color w:val="333333"/>
                <w:sz w:val="20"/>
                <w:szCs w:val="20"/>
              </w:rPr>
              <w:t xml:space="preserve">● Ter visibilidade contextual para embasar feedbacks ao Build sobre problemas recorrentes</w:t>
            </w:r>
          </w:p>
          <w:p>
            <w:pPr>
              <w:spacing w:after="40" w:before="0"/>
            </w:pPr>
            <w:r>
              <w:rPr>
                <w:rFonts w:ascii="Arial" w:cs="Arial" w:eastAsia="Arial" w:hAnsi="Arial"/>
                <w:color w:val="333333"/>
                <w:sz w:val="20"/>
                <w:szCs w:val="20"/>
              </w:rPr>
              <w:t xml:space="preserve">● Subsidiar iniciativas de melhoria contínua com dados objetivos sobre a conta</w:t>
            </w:r>
          </w:p>
          <w:p>
            <w:pPr>
              <w:spacing w:after="0" w:before="80"/>
            </w:pPr>
            <w:r>
              <w:t xml:space="preserve"/>
            </w:r>
          </w:p>
          <w:p>
            <w:r>
              <w:rPr>
                <w:rFonts w:ascii="Arial" w:cs="Arial" w:eastAsia="Arial" w:hAnsi="Arial"/>
                <w:i/>
                <w:iCs/>
                <w:color w:val="666666"/>
                <w:sz w:val="19"/>
                <w:szCs w:val="19"/>
              </w:rPr>
              <w:t xml:space="preserve">O POF é essencialmente RUN: o RessonâncIA não altera o fluxo operacional deles, mas entrega contexto para que entendam melhor a saúde estrutural das contas que atuam.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C7000" w:val="clear"/>
            <w:tcMar>
              <w:top w:type="dxa" w:w="0"/>
              <w:left w:type="dxa" w:w="0"/>
              <w:bottom w:type="dxa" w:w="0"/>
              <w:right w:type="dxa" w:w="0"/>
            </w:tcMar>
          </w:tcPr>
          <w:p>
            <w:r>
              <w:t xml:space="preserve"/>
            </w:r>
          </w:p>
        </w:tc>
        <w:tc>
          <w:tcPr>
            <w:tcW w:type="dxa" w:w="8880"/>
            <w:tcBorders>
              <w:top w:val="none" w:color="FFFFFF" w:sz="0"/>
              <w:left w:val="none" w:color="FFFFFF" w:sz="0"/>
              <w:bottom w:val="none" w:color="FFFFFF" w:sz="0"/>
              <w:right w:val="none" w:color="FFFFFF" w:sz="0"/>
            </w:tcBorders>
            <w:shd w:fill="003087" w:val="clear"/>
            <w:tcMar>
              <w:top w:type="dxa" w:w="140"/>
              <w:left w:type="dxa" w:w="280"/>
              <w:bottom w:type="dxa" w:w="140"/>
              <w:right w:type="dxa" w:w="280"/>
            </w:tcMar>
          </w:tcPr>
          <w:p>
            <w:r>
              <w:rPr>
                <w:rFonts w:ascii="Arial" w:cs="Arial" w:eastAsia="Arial" w:hAnsi="Arial"/>
                <w:b/>
                <w:bCs/>
                <w:caps/>
                <w:color w:val="FFFFFF"/>
                <w:sz w:val="28"/>
                <w:szCs w:val="28"/>
              </w:rPr>
              <w:t xml:space="preserve">5. Modelo de Diagnóstico — O Score de Saúde Contábil</w:t>
            </w:r>
          </w:p>
        </w:tc>
      </w:tr>
    </w:tbl>
    <w:p>
      <w:pPr>
        <w:spacing w:after="0" w:before="120"/>
      </w:pPr>
      <w:r>
        <w:t xml:space="preserve"/>
      </w:r>
    </w:p>
    <w:p>
      <w:pPr>
        <w:pStyle w:val="Heading2"/>
        <w:spacing w:after="80" w:before="240"/>
      </w:pPr>
      <w:r>
        <w:rPr>
          <w:rFonts w:ascii="Arial" w:cs="Arial" w:eastAsia="Arial" w:hAnsi="Arial"/>
          <w:b/>
          <w:bCs/>
          <w:color w:val="EC7000"/>
          <w:sz w:val="26"/>
          <w:szCs w:val="26"/>
        </w:rPr>
        <w:t xml:space="preserve">5.1 Filosofia do Modelo</w:t>
      </w:r>
    </w:p>
    <w:p>
      <w:pPr>
        <w:spacing w:after="120" w:before="60"/>
        <w:jc w:val="both"/>
      </w:pPr>
      <w:r>
        <w:rPr>
          <w:rFonts w:ascii="Arial" w:cs="Arial" w:eastAsia="Arial" w:hAnsi="Arial"/>
          <w:b w:val="false"/>
          <w:bCs w:val="false"/>
          <w:i w:val="false"/>
          <w:iCs w:val="false"/>
          <w:color w:val="333333"/>
          <w:sz w:val="22"/>
          <w:szCs w:val="22"/>
        </w:rPr>
        <w:t xml:space="preserve">O score de saúde contábil do RessonâncIA não é uma nota de conciliação. É um índice holístico que responde à pergunta: esta conta contábil está estruturalmente saudável, rastreável e aderente ao modelo contábil esperado?</w:t>
      </w:r>
    </w:p>
    <w:p>
      <w:pPr>
        <w:spacing w:after="120" w:before="60"/>
        <w:jc w:val="both"/>
      </w:pPr>
      <w:r>
        <w:rPr>
          <w:rFonts w:ascii="Arial" w:cs="Arial" w:eastAsia="Arial" w:hAnsi="Arial"/>
          <w:b w:val="false"/>
          <w:bCs w:val="false"/>
          <w:i w:val="false"/>
          <w:iCs w:val="false"/>
          <w:color w:val="333333"/>
          <w:sz w:val="22"/>
          <w:szCs w:val="22"/>
        </w:rPr>
        <w:t xml:space="preserve">Cada dimensão do score foi escolhida por capturar um aspecto diferente da qualidade da conta. Os atributos são intencionalmente evolutivos: à medida que o time descobre novos padrões que impactam a saúde contábil, eles são incorporados ao modelo.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C7000"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FDE8D0" w:val="clear"/>
            <w:tcMar>
              <w:top w:type="dxa" w:w="140"/>
              <w:left w:type="dxa" w:w="240"/>
              <w:bottom w:type="dxa" w:w="140"/>
              <w:right w:type="dxa" w:w="240"/>
            </w:tcMar>
          </w:tcPr>
          <w:p>
            <w:pPr>
              <w:spacing w:after="60" w:before="0"/>
            </w:pPr>
            <w:r>
              <w:rPr>
                <w:rFonts w:ascii="Arial" w:cs="Arial" w:eastAsia="Arial" w:hAnsi="Arial"/>
                <w:b/>
                <w:bCs/>
                <w:caps/>
                <w:color w:val="EC7000"/>
                <w:sz w:val="20"/>
                <w:szCs w:val="20"/>
              </w:rPr>
              <w:t xml:space="preserve">Exemplo de raciocínio diagnóstico</w:t>
            </w:r>
          </w:p>
          <w:p>
            <w:pPr>
              <w:spacing w:after="0" w:before="0"/>
              <w:jc w:val="both"/>
            </w:pPr>
            <w:r>
              <w:rPr>
                <w:rFonts w:ascii="Arial" w:cs="Arial" w:eastAsia="Arial" w:hAnsi="Arial"/>
                <w:i/>
                <w:iCs/>
                <w:color w:val="333333"/>
                <w:sz w:val="22"/>
                <w:szCs w:val="22"/>
              </w:rPr>
              <w:t xml:space="preserve">Uma conta com alto volume de lançamentos manuais não é um problema de conciliação — é um sinal de que o produto que alimenta essa conta ainda não contempla sistemicamente todos os eventos de negócio. O produto está incompleto do ponto de vista contábil. O RessonâncIA expõe esse GAP para que o Build saiba onde cobrar e onde atuar.</w:t>
            </w:r>
          </w:p>
        </w:tc>
      </w:tr>
    </w:tbl>
    <w:p>
      <w:pPr>
        <w:spacing w:after="0" w:before="160"/>
      </w:pPr>
      <w:r>
        <w:t xml:space="preserve"/>
      </w:r>
    </w:p>
    <w:p>
      <w:pPr>
        <w:pStyle w:val="Heading2"/>
        <w:spacing w:after="80" w:before="240"/>
      </w:pPr>
      <w:r>
        <w:rPr>
          <w:rFonts w:ascii="Arial" w:cs="Arial" w:eastAsia="Arial" w:hAnsi="Arial"/>
          <w:b/>
          <w:bCs/>
          <w:color w:val="EC7000"/>
          <w:sz w:val="26"/>
          <w:szCs w:val="26"/>
        </w:rPr>
        <w:t xml:space="preserve">5.2 Dimensões e Indicadores do Score</w:t>
      </w:r>
    </w:p>
    <w:p>
      <w:pPr>
        <w:spacing w:after="120" w:before="60"/>
        <w:jc w:val="both"/>
      </w:pPr>
      <w:r>
        <w:rPr>
          <w:rFonts w:ascii="Arial" w:cs="Arial" w:eastAsia="Arial" w:hAnsi="Arial"/>
          <w:b w:val="false"/>
          <w:bCs w:val="false"/>
          <w:i w:val="false"/>
          <w:iCs w:val="false"/>
          <w:color w:val="333333"/>
          <w:sz w:val="22"/>
          <w:szCs w:val="22"/>
        </w:rPr>
        <w:t xml:space="preserve">O score é calculado em cinco dimensões ponderadas, cada uma com seus indicadores específicos: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200"/>
        <w:gridCol w:w="2760"/>
      </w:tblGrid>
      <w:tr>
        <w:trPr>
          <w:tblHeader/>
        </w:trPr>
        <w:tc>
          <w:tcPr>
            <w:tcW w:type="dxa" w:w="2100"/>
            <w:tcBorders>
              <w:top w:val="single" w:color="EC7000" w:sz="1"/>
              <w:left w:val="single" w:color="EC7000" w:sz="1"/>
              <w:bottom w:val="single" w:color="EC7000" w:sz="1"/>
              <w:right w:val="single" w:color="EC7000"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Dimensão</w:t>
            </w:r>
          </w:p>
        </w:tc>
        <w:tc>
          <w:tcPr>
            <w:tcW w:type="dxa" w:w="3300"/>
            <w:tcBorders>
              <w:top w:val="single" w:color="EC7000" w:sz="1"/>
              <w:left w:val="single" w:color="EC7000" w:sz="1"/>
              <w:bottom w:val="single" w:color="EC7000" w:sz="1"/>
              <w:right w:val="single" w:color="EC7000"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Indicador</w:t>
            </w:r>
          </w:p>
        </w:tc>
        <w:tc>
          <w:tcPr>
            <w:tcW w:type="dxa" w:w="1200"/>
            <w:tcBorders>
              <w:top w:val="single" w:color="EC7000" w:sz="1"/>
              <w:left w:val="single" w:color="EC7000" w:sz="1"/>
              <w:bottom w:val="single" w:color="EC7000" w:sz="1"/>
              <w:right w:val="single" w:color="EC7000"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Peso</w:t>
            </w:r>
          </w:p>
        </w:tc>
        <w:tc>
          <w:tcPr>
            <w:tcW w:type="dxa" w:w="2760"/>
            <w:tcBorders>
              <w:top w:val="single" w:color="EC7000" w:sz="1"/>
              <w:left w:val="single" w:color="EC7000" w:sz="1"/>
              <w:bottom w:val="single" w:color="EC7000" w:sz="1"/>
              <w:right w:val="single" w:color="EC7000"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Fonte de Dados</w:t>
            </w:r>
          </w:p>
        </w:tc>
      </w:tr>
      <w:tr>
        <w:tc>
          <w:tcPr>
            <w:tcW w:type="dxa" w:w="21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Completude do Produto</w:t>
            </w:r>
          </w:p>
        </w:tc>
        <w:tc>
          <w:tcPr>
            <w:tcW w:type="dxa" w:w="3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Proporção de lançamentos manuais vs. automáticos — indica eventos de negócio não cobertos sistemicamente pelo produto</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25%</w:t>
            </w:r>
          </w:p>
        </w:tc>
        <w:tc>
          <w:tcPr>
            <w:tcW w:type="dxa" w:w="2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Extrato Contábil / Log de Operações</w:t>
            </w:r>
          </w:p>
        </w:tc>
      </w:tr>
      <w:tr>
        <w:tc>
          <w:tcPr>
            <w:tcW w:type="dxa" w:w="21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Rastreabilidade</w:t>
            </w:r>
          </w:p>
        </w:tc>
        <w:tc>
          <w:tcPr>
            <w:tcW w:type="dxa" w:w="33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Existência de chave de conciliação única por lançamento</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20%</w:t>
            </w:r>
          </w:p>
        </w:tc>
        <w:tc>
          <w:tcPr>
            <w:tcW w:type="dxa" w:w="2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Sistema de Roteirização / Ledger</w:t>
            </w:r>
          </w:p>
        </w:tc>
      </w:tr>
      <w:tr>
        <w:tc>
          <w:tcPr>
            <w:tcW w:type="dxa" w:w="21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Rastreabilidade</w:t>
            </w:r>
          </w:p>
        </w:tc>
        <w:tc>
          <w:tcPr>
            <w:tcW w:type="dxa" w:w="3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Qualidade e completude da chave (campos obrigatórios preenchidos)</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10%</w:t>
            </w:r>
          </w:p>
        </w:tc>
        <w:tc>
          <w:tcPr>
            <w:tcW w:type="dxa" w:w="2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Sistema de Roteirização / Ledger</w:t>
            </w:r>
          </w:p>
        </w:tc>
      </w:tr>
      <w:tr>
        <w:tc>
          <w:tcPr>
            <w:tcW w:type="dxa" w:w="21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Modernidade Tecnológica</w:t>
            </w:r>
          </w:p>
        </w:tc>
        <w:tc>
          <w:tcPr>
            <w:tcW w:type="dxa" w:w="33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Sistema de roteirização: legado (BG, PO/P6) vs. modernizado (DW6, BG+, PO+)</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15%</w:t>
            </w:r>
          </w:p>
        </w:tc>
        <w:tc>
          <w:tcPr>
            <w:tcW w:type="dxa" w:w="2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Catálogo de Sistemas / CMDB</w:t>
            </w:r>
          </w:p>
        </w:tc>
      </w:tr>
      <w:tr>
        <w:tc>
          <w:tcPr>
            <w:tcW w:type="dxa" w:w="21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Volume e Comportamento</w:t>
            </w:r>
          </w:p>
        </w:tc>
        <w:tc>
          <w:tcPr>
            <w:tcW w:type="dxa" w:w="3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Volume total de registros contábeis no período e sazonalidade</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10%</w:t>
            </w:r>
          </w:p>
        </w:tc>
        <w:tc>
          <w:tcPr>
            <w:tcW w:type="dxa" w:w="2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Data Lake Contábil</w:t>
            </w:r>
          </w:p>
        </w:tc>
      </w:tr>
      <w:tr>
        <w:tc>
          <w:tcPr>
            <w:tcW w:type="dxa" w:w="21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Tempestividade</w:t>
            </w:r>
          </w:p>
        </w:tc>
        <w:tc>
          <w:tcPr>
            <w:tcW w:type="dxa" w:w="33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Tempo médio de baixa de saldo pendente (dias)</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10%</w:t>
            </w:r>
          </w:p>
        </w:tc>
        <w:tc>
          <w:tcPr>
            <w:tcW w:type="dxa" w:w="2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Sistema de Conciliação</w:t>
            </w:r>
          </w:p>
        </w:tc>
      </w:tr>
      <w:tr>
        <w:tc>
          <w:tcPr>
            <w:tcW w:type="dxa" w:w="21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Governança</w:t>
            </w:r>
          </w:p>
        </w:tc>
        <w:tc>
          <w:tcPr>
            <w:tcW w:type="dxa" w:w="3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Frequência de revisões e registros de ocorrências na conta</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10%</w:t>
            </w:r>
          </w:p>
        </w:tc>
        <w:tc>
          <w:tcPr>
            <w:tcW w:type="dxa" w:w="2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Log de Atividades / Workflow</w:t>
            </w:r>
          </w:p>
        </w:tc>
      </w:tr>
    </w:tbl>
    <w:p>
      <w:pPr>
        <w:spacing w:after="0" w:before="80"/>
      </w:pPr>
      <w:r>
        <w:t xml:space="preserve"/>
      </w:r>
    </w:p>
    <w:p>
      <w:pPr>
        <w:spacing w:after="120" w:before="60"/>
        <w:jc w:val="both"/>
      </w:pPr>
      <w:r>
        <w:rPr>
          <w:rFonts w:ascii="Arial" w:cs="Arial" w:eastAsia="Arial" w:hAnsi="Arial"/>
          <w:b w:val="false"/>
          <w:bCs w:val="false"/>
          <w:i/>
          <w:iCs/>
          <w:color w:val="333333"/>
          <w:sz w:val="22"/>
          <w:szCs w:val="22"/>
        </w:rPr>
        <w:t xml:space="preserve">Os pesos acima são um ponto de partida a ser validado com os SMEs contábeis na Fase de Discovery. O modelo foi desenhado para ser calibrável conforme o aprendizado do time.</w:t>
      </w:r>
    </w:p>
    <w:p>
      <w:pPr>
        <w:spacing w:after="0" w:before="120"/>
      </w:pPr>
      <w:r>
        <w:t xml:space="preserve"/>
      </w:r>
    </w:p>
    <w:p>
      <w:pPr>
        <w:pStyle w:val="Heading2"/>
        <w:spacing w:after="80" w:before="240"/>
      </w:pPr>
      <w:r>
        <w:rPr>
          <w:rFonts w:ascii="Arial" w:cs="Arial" w:eastAsia="Arial" w:hAnsi="Arial"/>
          <w:b/>
          <w:bCs/>
          <w:color w:val="EC7000"/>
          <w:sz w:val="26"/>
          <w:szCs w:val="26"/>
        </w:rPr>
        <w:t xml:space="preserve">5.3 Classificação e Faixas de Saúde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780"/>
        <w:gridCol w:w="2780"/>
      </w:tblGrid>
      <w:tr>
        <w:trPr>
          <w:tblHeader/>
        </w:trPr>
        <w:tc>
          <w:tcPr>
            <w:tcW w:type="dxa" w:w="2200"/>
            <w:tcBorders>
              <w:top w:val="single" w:color="EC7000" w:sz="1"/>
              <w:left w:val="single" w:color="EC7000" w:sz="1"/>
              <w:bottom w:val="single" w:color="EC7000" w:sz="1"/>
              <w:right w:val="single" w:color="EC7000"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Classificação</w:t>
            </w:r>
          </w:p>
        </w:tc>
        <w:tc>
          <w:tcPr>
            <w:tcW w:type="dxa" w:w="1600"/>
            <w:tcBorders>
              <w:top w:val="single" w:color="EC7000" w:sz="1"/>
              <w:left w:val="single" w:color="EC7000" w:sz="1"/>
              <w:bottom w:val="single" w:color="EC7000" w:sz="1"/>
              <w:right w:val="single" w:color="EC7000"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780"/>
            <w:tcBorders>
              <w:top w:val="single" w:color="EC7000" w:sz="1"/>
              <w:left w:val="single" w:color="EC7000" w:sz="1"/>
              <w:bottom w:val="single" w:color="EC7000" w:sz="1"/>
              <w:right w:val="single" w:color="EC7000"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O que indica</w:t>
            </w:r>
          </w:p>
        </w:tc>
        <w:tc>
          <w:tcPr>
            <w:tcW w:type="dxa" w:w="2780"/>
            <w:tcBorders>
              <w:top w:val="single" w:color="EC7000" w:sz="1"/>
              <w:left w:val="single" w:color="EC7000" w:sz="1"/>
              <w:bottom w:val="single" w:color="EC7000" w:sz="1"/>
              <w:right w:val="single" w:color="EC7000"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Ação esperada do Build</w:t>
            </w:r>
          </w:p>
        </w:tc>
      </w:tr>
      <w:tr>
        <w:tc>
          <w:tcPr>
            <w:tcW w:type="dxa" w:w="22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b/>
                <w:bCs/>
                <w:color w:val="217346"/>
                <w:sz w:val="20"/>
                <w:szCs w:val="20"/>
              </w:rPr>
              <w:t xml:space="preserve">Saudável</w:t>
            </w:r>
          </w:p>
        </w:tc>
        <w:tc>
          <w:tcPr>
            <w:tcW w:type="dxa" w:w="160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80 – 100</w:t>
            </w:r>
          </w:p>
        </w:tc>
        <w:tc>
          <w:tcPr>
            <w:tcW w:type="dxa" w:w="278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Conta aderente ao modelo contábil; baixo risco estrutural</w:t>
            </w:r>
          </w:p>
        </w:tc>
        <w:tc>
          <w:tcPr>
            <w:tcW w:type="dxa" w:w="278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Monitoramento periódico; sem intervenção imediata</w:t>
            </w:r>
          </w:p>
        </w:tc>
      </w:tr>
      <w:tr>
        <w:tc>
          <w:tcPr>
            <w:tcW w:type="dxa" w:w="2200"/>
            <w:tcBorders>
              <w:top w:val="single" w:color="D0D0D0" w:sz="1"/>
              <w:left w:val="single" w:color="D0D0D0" w:sz="1"/>
              <w:bottom w:val="single" w:color="D0D0D0" w:sz="1"/>
              <w:right w:val="single" w:color="D0D0D0" w:sz="1"/>
            </w:tcBorders>
            <w:shd w:fill="FFF9C4" w:val="clear"/>
            <w:tcMar>
              <w:top w:type="dxa" w:w="80"/>
              <w:left w:type="dxa" w:w="120"/>
              <w:bottom w:type="dxa" w:w="80"/>
              <w:right w:type="dxa" w:w="120"/>
            </w:tcMar>
          </w:tcPr>
          <w:p>
            <w:r>
              <w:rPr>
                <w:rFonts w:ascii="Arial" w:cs="Arial" w:eastAsia="Arial" w:hAnsi="Arial"/>
                <w:b/>
                <w:bCs/>
                <w:color w:val="B8860B"/>
                <w:sz w:val="20"/>
                <w:szCs w:val="20"/>
              </w:rPr>
              <w:t xml:space="preserve">Em Observação</w:t>
            </w:r>
          </w:p>
        </w:tc>
        <w:tc>
          <w:tcPr>
            <w:tcW w:type="dxa" w:w="1600"/>
            <w:tcBorders>
              <w:top w:val="single" w:color="D0D0D0" w:sz="1"/>
              <w:left w:val="single" w:color="D0D0D0" w:sz="1"/>
              <w:bottom w:val="single" w:color="D0D0D0" w:sz="1"/>
              <w:right w:val="single" w:color="D0D0D0" w:sz="1"/>
            </w:tcBorders>
            <w:shd w:fill="FFF9C4" w:val="clear"/>
            <w:tcMar>
              <w:top w:type="dxa" w:w="80"/>
              <w:left w:type="dxa" w:w="120"/>
              <w:bottom w:type="dxa" w:w="80"/>
              <w:right w:type="dxa" w:w="120"/>
            </w:tcMar>
          </w:tcPr>
          <w:p>
            <w:r>
              <w:rPr>
                <w:rFonts w:ascii="Arial" w:cs="Arial" w:eastAsia="Arial" w:hAnsi="Arial"/>
                <w:color w:val="333333"/>
                <w:sz w:val="20"/>
                <w:szCs w:val="20"/>
              </w:rPr>
              <w:t xml:space="preserve">60 – 79</w:t>
            </w:r>
          </w:p>
        </w:tc>
        <w:tc>
          <w:tcPr>
            <w:tcW w:type="dxa" w:w="2780"/>
            <w:tcBorders>
              <w:top w:val="single" w:color="D0D0D0" w:sz="1"/>
              <w:left w:val="single" w:color="D0D0D0" w:sz="1"/>
              <w:bottom w:val="single" w:color="D0D0D0" w:sz="1"/>
              <w:right w:val="single" w:color="D0D0D0" w:sz="1"/>
            </w:tcBorders>
            <w:shd w:fill="FFF9C4" w:val="clear"/>
            <w:tcMar>
              <w:top w:type="dxa" w:w="80"/>
              <w:left w:type="dxa" w:w="120"/>
              <w:bottom w:type="dxa" w:w="80"/>
              <w:right w:type="dxa" w:w="120"/>
            </w:tcMar>
          </w:tcPr>
          <w:p>
            <w:r>
              <w:rPr>
                <w:rFonts w:ascii="Arial" w:cs="Arial" w:eastAsia="Arial" w:hAnsi="Arial"/>
                <w:color w:val="333333"/>
                <w:sz w:val="20"/>
                <w:szCs w:val="20"/>
              </w:rPr>
              <w:t xml:space="preserve">Desvios pontuais; sinais de GAPs no produto a serem investigados</w:t>
            </w:r>
          </w:p>
        </w:tc>
        <w:tc>
          <w:tcPr>
            <w:tcW w:type="dxa" w:w="2780"/>
            <w:tcBorders>
              <w:top w:val="single" w:color="D0D0D0" w:sz="1"/>
              <w:left w:val="single" w:color="D0D0D0" w:sz="1"/>
              <w:bottom w:val="single" w:color="D0D0D0" w:sz="1"/>
              <w:right w:val="single" w:color="D0D0D0" w:sz="1"/>
            </w:tcBorders>
            <w:shd w:fill="FFF9C4" w:val="clear"/>
            <w:tcMar>
              <w:top w:type="dxa" w:w="80"/>
              <w:left w:type="dxa" w:w="120"/>
              <w:bottom w:type="dxa" w:w="80"/>
              <w:right w:type="dxa" w:w="120"/>
            </w:tcMar>
          </w:tcPr>
          <w:p>
            <w:r>
              <w:rPr>
                <w:rFonts w:ascii="Arial" w:cs="Arial" w:eastAsia="Arial" w:hAnsi="Arial"/>
                <w:color w:val="333333"/>
                <w:sz w:val="20"/>
                <w:szCs w:val="20"/>
              </w:rPr>
              <w:t xml:space="preserve">Incluir na agenda de revisão do próximo ciclo</w:t>
            </w:r>
          </w:p>
        </w:tc>
      </w:tr>
      <w:tr>
        <w:tc>
          <w:tcPr>
            <w:tcW w:type="dxa" w:w="2200"/>
            <w:tcBorders>
              <w:top w:val="single" w:color="D0D0D0" w:sz="1"/>
              <w:left w:val="single" w:color="D0D0D0" w:sz="1"/>
              <w:bottom w:val="single" w:color="D0D0D0" w:sz="1"/>
              <w:right w:val="single" w:color="D0D0D0" w:sz="1"/>
            </w:tcBorders>
            <w:shd w:fill="FFE0B2" w:val="clear"/>
            <w:tcMar>
              <w:top w:type="dxa" w:w="80"/>
              <w:left w:type="dxa" w:w="120"/>
              <w:bottom w:type="dxa" w:w="80"/>
              <w:right w:type="dxa" w:w="120"/>
            </w:tcMar>
          </w:tcPr>
          <w:p>
            <w:r>
              <w:rPr>
                <w:rFonts w:ascii="Arial" w:cs="Arial" w:eastAsia="Arial" w:hAnsi="Arial"/>
                <w:b/>
                <w:bCs/>
                <w:color w:val="C55A11"/>
                <w:sz w:val="20"/>
                <w:szCs w:val="20"/>
              </w:rPr>
              <w:t xml:space="preserve">Crítico</w:t>
            </w:r>
          </w:p>
        </w:tc>
        <w:tc>
          <w:tcPr>
            <w:tcW w:type="dxa" w:w="1600"/>
            <w:tcBorders>
              <w:top w:val="single" w:color="D0D0D0" w:sz="1"/>
              <w:left w:val="single" w:color="D0D0D0" w:sz="1"/>
              <w:bottom w:val="single" w:color="D0D0D0" w:sz="1"/>
              <w:right w:val="single" w:color="D0D0D0" w:sz="1"/>
            </w:tcBorders>
            <w:shd w:fill="FFE0B2" w:val="clear"/>
            <w:tcMar>
              <w:top w:type="dxa" w:w="80"/>
              <w:left w:type="dxa" w:w="120"/>
              <w:bottom w:type="dxa" w:w="80"/>
              <w:right w:type="dxa" w:w="120"/>
            </w:tcMar>
          </w:tcPr>
          <w:p>
            <w:r>
              <w:rPr>
                <w:rFonts w:ascii="Arial" w:cs="Arial" w:eastAsia="Arial" w:hAnsi="Arial"/>
                <w:color w:val="333333"/>
                <w:sz w:val="20"/>
                <w:szCs w:val="20"/>
              </w:rPr>
              <w:t xml:space="preserve">40 – 59</w:t>
            </w:r>
          </w:p>
        </w:tc>
        <w:tc>
          <w:tcPr>
            <w:tcW w:type="dxa" w:w="2780"/>
            <w:tcBorders>
              <w:top w:val="single" w:color="D0D0D0" w:sz="1"/>
              <w:left w:val="single" w:color="D0D0D0" w:sz="1"/>
              <w:bottom w:val="single" w:color="D0D0D0" w:sz="1"/>
              <w:right w:val="single" w:color="D0D0D0" w:sz="1"/>
            </w:tcBorders>
            <w:shd w:fill="FFE0B2" w:val="clear"/>
            <w:tcMar>
              <w:top w:type="dxa" w:w="80"/>
              <w:left w:type="dxa" w:w="120"/>
              <w:bottom w:type="dxa" w:w="80"/>
              <w:right w:type="dxa" w:w="120"/>
            </w:tcMar>
          </w:tcPr>
          <w:p>
            <w:r>
              <w:rPr>
                <w:rFonts w:ascii="Arial" w:cs="Arial" w:eastAsia="Arial" w:hAnsi="Arial"/>
                <w:color w:val="333333"/>
                <w:sz w:val="20"/>
                <w:szCs w:val="20"/>
              </w:rPr>
              <w:t xml:space="preserve">Múltiplos GAPs ativos; conta requer atenção prioritária do Build</w:t>
            </w:r>
          </w:p>
        </w:tc>
        <w:tc>
          <w:tcPr>
            <w:tcW w:type="dxa" w:w="2780"/>
            <w:tcBorders>
              <w:top w:val="single" w:color="D0D0D0" w:sz="1"/>
              <w:left w:val="single" w:color="D0D0D0" w:sz="1"/>
              <w:bottom w:val="single" w:color="D0D0D0" w:sz="1"/>
              <w:right w:val="single" w:color="D0D0D0" w:sz="1"/>
            </w:tcBorders>
            <w:shd w:fill="FFE0B2" w:val="clear"/>
            <w:tcMar>
              <w:top w:type="dxa" w:w="80"/>
              <w:left w:type="dxa" w:w="120"/>
              <w:bottom w:type="dxa" w:w="80"/>
              <w:right w:type="dxa" w:w="120"/>
            </w:tcMar>
          </w:tcPr>
          <w:p>
            <w:r>
              <w:rPr>
                <w:rFonts w:ascii="Arial" w:cs="Arial" w:eastAsia="Arial" w:hAnsi="Arial"/>
                <w:color w:val="333333"/>
                <w:sz w:val="20"/>
                <w:szCs w:val="20"/>
              </w:rPr>
              <w:t xml:space="preserve">Abertura de plano de remediação formal com o produto responsável</w:t>
            </w:r>
          </w:p>
        </w:tc>
      </w:tr>
      <w:tr>
        <w:tc>
          <w:tcPr>
            <w:tcW w:type="dxa" w:w="2200"/>
            <w:tcBorders>
              <w:top w:val="single" w:color="D0D0D0" w:sz="1"/>
              <w:left w:val="single" w:color="D0D0D0" w:sz="1"/>
              <w:bottom w:val="single" w:color="D0D0D0" w:sz="1"/>
              <w:right w:val="single" w:color="D0D0D0" w:sz="1"/>
            </w:tcBorders>
            <w:shd w:fill="FFCDD2" w:val="clear"/>
            <w:tcMar>
              <w:top w:type="dxa" w:w="80"/>
              <w:left w:type="dxa" w:w="120"/>
              <w:bottom w:type="dxa" w:w="80"/>
              <w:right w:type="dxa" w:w="120"/>
            </w:tcMar>
          </w:tcPr>
          <w:p>
            <w:r>
              <w:rPr>
                <w:rFonts w:ascii="Arial" w:cs="Arial" w:eastAsia="Arial" w:hAnsi="Arial"/>
                <w:b/>
                <w:bCs/>
                <w:color w:val="C62828"/>
                <w:sz w:val="20"/>
                <w:szCs w:val="20"/>
              </w:rPr>
              <w:t xml:space="preserve">Não Aderente</w:t>
            </w:r>
          </w:p>
        </w:tc>
        <w:tc>
          <w:tcPr>
            <w:tcW w:type="dxa" w:w="1600"/>
            <w:tcBorders>
              <w:top w:val="single" w:color="D0D0D0" w:sz="1"/>
              <w:left w:val="single" w:color="D0D0D0" w:sz="1"/>
              <w:bottom w:val="single" w:color="D0D0D0" w:sz="1"/>
              <w:right w:val="single" w:color="D0D0D0" w:sz="1"/>
            </w:tcBorders>
            <w:shd w:fill="FFCDD2" w:val="clear"/>
            <w:tcMar>
              <w:top w:type="dxa" w:w="80"/>
              <w:left w:type="dxa" w:w="120"/>
              <w:bottom w:type="dxa" w:w="80"/>
              <w:right w:type="dxa" w:w="120"/>
            </w:tcMar>
          </w:tcPr>
          <w:p>
            <w:r>
              <w:rPr>
                <w:rFonts w:ascii="Arial" w:cs="Arial" w:eastAsia="Arial" w:hAnsi="Arial"/>
                <w:color w:val="333333"/>
                <w:sz w:val="20"/>
                <w:szCs w:val="20"/>
              </w:rPr>
              <w:t xml:space="preserve">0 – 39</w:t>
            </w:r>
          </w:p>
        </w:tc>
        <w:tc>
          <w:tcPr>
            <w:tcW w:type="dxa" w:w="2780"/>
            <w:tcBorders>
              <w:top w:val="single" w:color="D0D0D0" w:sz="1"/>
              <w:left w:val="single" w:color="D0D0D0" w:sz="1"/>
              <w:bottom w:val="single" w:color="D0D0D0" w:sz="1"/>
              <w:right w:val="single" w:color="D0D0D0" w:sz="1"/>
            </w:tcBorders>
            <w:shd w:fill="FFCDD2" w:val="clear"/>
            <w:tcMar>
              <w:top w:type="dxa" w:w="80"/>
              <w:left w:type="dxa" w:w="120"/>
              <w:bottom w:type="dxa" w:w="80"/>
              <w:right w:type="dxa" w:w="120"/>
            </w:tcMar>
          </w:tcPr>
          <w:p>
            <w:r>
              <w:rPr>
                <w:rFonts w:ascii="Arial" w:cs="Arial" w:eastAsia="Arial" w:hAnsi="Arial"/>
                <w:color w:val="333333"/>
                <w:sz w:val="20"/>
                <w:szCs w:val="20"/>
              </w:rPr>
              <w:t xml:space="preserve">Estrutura da conta incompatível com o modelo contábil esperado</w:t>
            </w:r>
          </w:p>
        </w:tc>
        <w:tc>
          <w:tcPr>
            <w:tcW w:type="dxa" w:w="2780"/>
            <w:tcBorders>
              <w:top w:val="single" w:color="D0D0D0" w:sz="1"/>
              <w:left w:val="single" w:color="D0D0D0" w:sz="1"/>
              <w:bottom w:val="single" w:color="D0D0D0" w:sz="1"/>
              <w:right w:val="single" w:color="D0D0D0" w:sz="1"/>
            </w:tcBorders>
            <w:shd w:fill="FFCDD2" w:val="clear"/>
            <w:tcMar>
              <w:top w:type="dxa" w:w="80"/>
              <w:left w:type="dxa" w:w="120"/>
              <w:bottom w:type="dxa" w:w="80"/>
              <w:right w:type="dxa" w:w="120"/>
            </w:tcMar>
          </w:tcPr>
          <w:p>
            <w:r>
              <w:rPr>
                <w:rFonts w:ascii="Arial" w:cs="Arial" w:eastAsia="Arial" w:hAnsi="Arial"/>
                <w:color w:val="333333"/>
                <w:sz w:val="20"/>
                <w:szCs w:val="20"/>
              </w:rPr>
              <w:t xml:space="preserve">Escalada imediata; convocar produto para revisão estrutural urgente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C7000" w:val="clear"/>
            <w:tcMar>
              <w:top w:type="dxa" w:w="0"/>
              <w:left w:type="dxa" w:w="0"/>
              <w:bottom w:type="dxa" w:w="0"/>
              <w:right w:type="dxa" w:w="0"/>
            </w:tcMar>
          </w:tcPr>
          <w:p>
            <w:r>
              <w:t xml:space="preserve"/>
            </w:r>
          </w:p>
        </w:tc>
        <w:tc>
          <w:tcPr>
            <w:tcW w:type="dxa" w:w="8880"/>
            <w:tcBorders>
              <w:top w:val="none" w:color="FFFFFF" w:sz="0"/>
              <w:left w:val="none" w:color="FFFFFF" w:sz="0"/>
              <w:bottom w:val="none" w:color="FFFFFF" w:sz="0"/>
              <w:right w:val="none" w:color="FFFFFF" w:sz="0"/>
            </w:tcBorders>
            <w:shd w:fill="003087" w:val="clear"/>
            <w:tcMar>
              <w:top w:type="dxa" w:w="140"/>
              <w:left w:type="dxa" w:w="280"/>
              <w:bottom w:type="dxa" w:w="140"/>
              <w:right w:type="dxa" w:w="280"/>
            </w:tcMar>
          </w:tcPr>
          <w:p>
            <w:r>
              <w:rPr>
                <w:rFonts w:ascii="Arial" w:cs="Arial" w:eastAsia="Arial" w:hAnsi="Arial"/>
                <w:b/>
                <w:bCs/>
                <w:caps/>
                <w:color w:val="FFFFFF"/>
                <w:sz w:val="28"/>
                <w:szCs w:val="28"/>
              </w:rPr>
              <w:t xml:space="preserve">6. Proposta de Valor Estratégica</w:t>
            </w:r>
          </w:p>
        </w:tc>
      </w:tr>
    </w:tbl>
    <w:p>
      <w:pPr>
        <w:spacing w:after="0" w:before="120"/>
      </w:pPr>
      <w:r>
        <w:t xml:space="preserve"/>
      </w:r>
    </w:p>
    <w:p>
      <w:pPr>
        <w:pStyle w:val="Heading2"/>
        <w:spacing w:after="80" w:before="240"/>
      </w:pPr>
      <w:r>
        <w:rPr>
          <w:rFonts w:ascii="Arial" w:cs="Arial" w:eastAsia="Arial" w:hAnsi="Arial"/>
          <w:b/>
          <w:bCs/>
          <w:color w:val="EC7000"/>
          <w:sz w:val="26"/>
          <w:szCs w:val="26"/>
        </w:rPr>
        <w:t xml:space="preserve">6.1 O RessonâncIA como Viabilizador da Modernização AWS 2028</w:t>
      </w:r>
    </w:p>
    <w:p>
      <w:pPr>
        <w:spacing w:after="120" w:before="60"/>
        <w:jc w:val="both"/>
      </w:pPr>
      <w:r>
        <w:rPr>
          <w:rFonts w:ascii="Arial" w:cs="Arial" w:eastAsia="Arial" w:hAnsi="Arial"/>
          <w:b w:val="false"/>
          <w:bCs w:val="false"/>
          <w:i w:val="false"/>
          <w:iCs w:val="false"/>
          <w:color w:val="333333"/>
          <w:sz w:val="22"/>
          <w:szCs w:val="22"/>
        </w:rPr>
        <w:t xml:space="preserve">O programa de modernização dos sistemas do Itaú para a AWS é uma janela única de oportunidade — mas também um risco: sem um diagnóstico claro dos problemas atuais, há grande chance de que GAPs estruturais das contas contábeis sejam herdados pelos sistemas modernos sem resolução.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C7000"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FDE8D0" w:val="clear"/>
            <w:tcMar>
              <w:top w:type="dxa" w:w="140"/>
              <w:left w:type="dxa" w:w="240"/>
              <w:bottom w:type="dxa" w:w="140"/>
              <w:right w:type="dxa" w:w="240"/>
            </w:tcMar>
          </w:tcPr>
          <w:p>
            <w:pPr>
              <w:spacing w:after="60" w:before="0"/>
            </w:pPr>
            <w:r>
              <w:rPr>
                <w:rFonts w:ascii="Arial" w:cs="Arial" w:eastAsia="Arial" w:hAnsi="Arial"/>
                <w:b/>
                <w:bCs/>
                <w:caps/>
                <w:color w:val="EC7000"/>
                <w:sz w:val="20"/>
                <w:szCs w:val="20"/>
              </w:rPr>
              <w:t xml:space="preserve">O papel do RessonâncIA na modernização</w:t>
            </w:r>
          </w:p>
          <w:p>
            <w:pPr>
              <w:spacing w:after="0" w:before="0"/>
              <w:jc w:val="both"/>
            </w:pPr>
            <w:r>
              <w:rPr>
                <w:rFonts w:ascii="Arial" w:cs="Arial" w:eastAsia="Arial" w:hAnsi="Arial"/>
                <w:i/>
                <w:iCs/>
                <w:color w:val="333333"/>
                <w:sz w:val="22"/>
                <w:szCs w:val="22"/>
              </w:rPr>
              <w:t xml:space="preserve">O score de saúde contábil funciona como a linha de base (baseline) do estado atual de cada conta. Ele documenta os GAPs existentes antes da modernização, cria visibilidade para que os times de produto priorizem a resolução desses GAPs durante o processo de migração, e valida — com dados — se a conta ficou mais saudável depois da modernização. O RessonâncIA transforma a modernização de um exercício de lift-and-shift em uma real oportunidade de melhoria contábil.</w:t>
            </w:r>
          </w:p>
        </w:tc>
      </w:tr>
    </w:tbl>
    <w:p>
      <w:pPr>
        <w:spacing w:after="0" w:before="160"/>
      </w:pPr>
      <w:r>
        <w:t xml:space="preserve"/>
      </w:r>
    </w:p>
    <w:p>
      <w:pPr>
        <w:pStyle w:val="Heading2"/>
        <w:spacing w:after="80" w:before="240"/>
      </w:pPr>
      <w:r>
        <w:rPr>
          <w:rFonts w:ascii="Arial" w:cs="Arial" w:eastAsia="Arial" w:hAnsi="Arial"/>
          <w:b/>
          <w:bCs/>
          <w:color w:val="EC7000"/>
          <w:sz w:val="26"/>
          <w:szCs w:val="26"/>
        </w:rPr>
        <w:t xml:space="preserve">6.2 Conversas Estratégicas com os Produtos</w:t>
      </w:r>
    </w:p>
    <w:p>
      <w:pPr>
        <w:spacing w:after="120" w:before="60"/>
        <w:jc w:val="both"/>
      </w:pPr>
      <w:r>
        <w:rPr>
          <w:rFonts w:ascii="Arial" w:cs="Arial" w:eastAsia="Arial" w:hAnsi="Arial"/>
          <w:b w:val="false"/>
          <w:bCs w:val="false"/>
          <w:i w:val="false"/>
          <w:iCs w:val="false"/>
          <w:color w:val="333333"/>
          <w:sz w:val="22"/>
          <w:szCs w:val="22"/>
        </w:rPr>
        <w:t xml:space="preserve">Um dos maiores valores do RessonâncIA é habilitar conversas estruturadas e baseadas em dados entre o time de Build e os produtos que alimentam a contabilização. Hoje, essas conversas dependem de percepções subjetivas. Com o RessonâncIA:</w:t>
      </w:r>
    </w:p>
    <w:p>
      <w:pPr>
        <w:spacing w:after="0" w:before="60"/>
      </w:pPr>
      <w:r>
        <w:t xml:space="preserve"/>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O Build chega ao produto com um diagnóstico completo da conta, não com uma impressão</w:t>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Os GAPs são quantificados e priorizados — facilitando o acordo sobre o que deve ser resolvido</w:t>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O produto tem visibilidade de como suas entregas impactam a saúde contábil, criando um incentivo concreto para melhorar</w:t>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A evolução do score ao longo do tempo documenta o progresso e valida as melhorias entregues</w:t>
      </w:r>
    </w:p>
    <w:p>
      <w:pPr>
        <w:spacing w:after="0" w:before="120"/>
      </w:pPr>
      <w:r>
        <w:t xml:space="preserve"/>
      </w:r>
    </w:p>
    <w:p>
      <w:pPr>
        <w:pStyle w:val="Heading2"/>
        <w:spacing w:after="80" w:before="240"/>
      </w:pPr>
      <w:r>
        <w:rPr>
          <w:rFonts w:ascii="Arial" w:cs="Arial" w:eastAsia="Arial" w:hAnsi="Arial"/>
          <w:b/>
          <w:bCs/>
          <w:color w:val="EC7000"/>
          <w:sz w:val="26"/>
          <w:szCs w:val="26"/>
        </w:rPr>
        <w:t xml:space="preserve">6.3 Proposta de Valor por Stakeholder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rPr>
          <w:tblHeader/>
        </w:trPr>
        <w:tc>
          <w:tcPr>
            <w:tcW w:type="dxa" w:w="2600"/>
            <w:tcBorders>
              <w:top w:val="single" w:color="EC7000" w:sz="1"/>
              <w:left w:val="single" w:color="EC7000" w:sz="1"/>
              <w:bottom w:val="single" w:color="EC7000" w:sz="1"/>
              <w:right w:val="single" w:color="EC7000" w:sz="1"/>
            </w:tcBorders>
            <w:shd w:fill="EC7000" w:val="clear"/>
            <w:tcMar>
              <w:top w:type="dxa" w:w="80"/>
              <w:left w:type="dxa" w:w="140"/>
              <w:bottom w:type="dxa" w:w="80"/>
              <w:right w:type="dxa" w:w="140"/>
            </w:tcMar>
          </w:tcPr>
          <w:p>
            <w:r>
              <w:rPr>
                <w:rFonts w:ascii="Arial" w:cs="Arial" w:eastAsia="Arial" w:hAnsi="Arial"/>
                <w:b/>
                <w:bCs/>
                <w:color w:val="FFFFFF"/>
                <w:sz w:val="20"/>
                <w:szCs w:val="20"/>
              </w:rPr>
              <w:t xml:space="preserve">Stakeholder</w:t>
            </w:r>
          </w:p>
        </w:tc>
        <w:tc>
          <w:tcPr>
            <w:tcW w:type="dxa" w:w="3480"/>
            <w:tcBorders>
              <w:top w:val="single" w:color="EC7000" w:sz="1"/>
              <w:left w:val="single" w:color="EC7000" w:sz="1"/>
              <w:bottom w:val="single" w:color="EC7000" w:sz="1"/>
              <w:right w:val="single" w:color="EC7000" w:sz="1"/>
            </w:tcBorders>
            <w:shd w:fill="EC7000" w:val="clear"/>
            <w:tcMar>
              <w:top w:type="dxa" w:w="80"/>
              <w:left w:type="dxa" w:w="140"/>
              <w:bottom w:type="dxa" w:w="80"/>
              <w:right w:type="dxa" w:w="140"/>
            </w:tcMar>
          </w:tcPr>
          <w:p>
            <w:r>
              <w:rPr>
                <w:rFonts w:ascii="Arial" w:cs="Arial" w:eastAsia="Arial" w:hAnsi="Arial"/>
                <w:b/>
                <w:bCs/>
                <w:color w:val="FFFFFF"/>
                <w:sz w:val="20"/>
                <w:szCs w:val="20"/>
              </w:rPr>
              <w:t xml:space="preserve">Ganho Principal</w:t>
            </w:r>
          </w:p>
        </w:tc>
        <w:tc>
          <w:tcPr>
            <w:tcW w:type="dxa" w:w="3280"/>
            <w:tcBorders>
              <w:top w:val="single" w:color="EC7000" w:sz="1"/>
              <w:left w:val="single" w:color="EC7000" w:sz="1"/>
              <w:bottom w:val="single" w:color="EC7000" w:sz="1"/>
              <w:right w:val="single" w:color="EC7000" w:sz="1"/>
            </w:tcBorders>
            <w:shd w:fill="EC7000" w:val="clear"/>
            <w:tcMar>
              <w:top w:type="dxa" w:w="80"/>
              <w:left w:type="dxa" w:w="140"/>
              <w:bottom w:type="dxa" w:w="80"/>
              <w:right w:type="dxa" w:w="140"/>
            </w:tcMar>
          </w:tcPr>
          <w:p>
            <w:r>
              <w:rPr>
                <w:rFonts w:ascii="Arial" w:cs="Arial" w:eastAsia="Arial" w:hAnsi="Arial"/>
                <w:b/>
                <w:bCs/>
                <w:color w:val="FFFFFF"/>
                <w:sz w:val="20"/>
                <w:szCs w:val="20"/>
              </w:rPr>
              <w:t xml:space="preserve">Impacto Esperado</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Time de Build (Modernização)</w:t>
            </w:r>
          </w:p>
        </w:tc>
        <w:tc>
          <w:tcPr>
            <w:tcW w:type="dxa" w:w="34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Diagnóstico preciso e priorizado de GAPs antes do acionamento para modernização</w:t>
            </w:r>
          </w:p>
        </w:tc>
        <w:tc>
          <w:tcPr>
            <w:tcW w:type="dxa" w:w="32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Redução do leadtime para lançar funcionalidades e resolver problemas estruturais</w:t>
            </w:r>
          </w:p>
        </w:tc>
      </w:tr>
      <w:tr>
        <w:tc>
          <w:tcPr>
            <w:tcW w:type="dxa" w:w="2600"/>
            <w:tcBorders>
              <w:top w:val="single" w:color="D0D0D0" w:sz="1"/>
              <w:left w:val="single" w:color="D0D0D0" w:sz="1"/>
              <w:bottom w:val="single" w:color="D0D0D0" w:sz="1"/>
              <w:right w:val="single" w:color="D0D0D0" w:sz="1"/>
            </w:tcBorders>
            <w:shd w:fill="FDE8D0" w:val="clear"/>
            <w:tcMar>
              <w:top w:type="dxa" w:w="80"/>
              <w:left w:type="dxa" w:w="140"/>
              <w:bottom w:type="dxa" w:w="80"/>
              <w:right w:type="dxa" w:w="140"/>
            </w:tcMar>
          </w:tcPr>
          <w:p>
            <w:r>
              <w:rPr>
                <w:rFonts w:ascii="Arial" w:cs="Arial" w:eastAsia="Arial" w:hAnsi="Arial"/>
                <w:b/>
                <w:bCs/>
                <w:color w:val="333333"/>
                <w:sz w:val="20"/>
                <w:szCs w:val="20"/>
              </w:rPr>
              <w:t xml:space="preserve">Gestores de Squad Contábil</w:t>
            </w:r>
          </w:p>
        </w:tc>
        <w:tc>
          <w:tcPr>
            <w:tcW w:type="dxa" w:w="3480"/>
            <w:tcBorders>
              <w:top w:val="single" w:color="D0D0D0" w:sz="1"/>
              <w:left w:val="single" w:color="D0D0D0" w:sz="1"/>
              <w:bottom w:val="single" w:color="D0D0D0" w:sz="1"/>
              <w:right w:val="single" w:color="D0D0D0" w:sz="1"/>
            </w:tcBorders>
            <w:shd w:fill="FDE8D0" w:val="clear"/>
            <w:tcMar>
              <w:top w:type="dxa" w:w="80"/>
              <w:left w:type="dxa" w:w="140"/>
              <w:bottom w:type="dxa" w:w="80"/>
              <w:right w:type="dxa" w:w="140"/>
            </w:tcMar>
          </w:tcPr>
          <w:p>
            <w:r>
              <w:rPr>
                <w:rFonts w:ascii="Arial" w:cs="Arial" w:eastAsia="Arial" w:hAnsi="Arial"/>
                <w:b w:val="false"/>
                <w:bCs w:val="false"/>
                <w:color w:val="333333"/>
                <w:sz w:val="20"/>
                <w:szCs w:val="20"/>
              </w:rPr>
              <w:t xml:space="preserve">KPI de saúde do portfólio contábil; base objetiva para OKRs e reportes à diretoria</w:t>
            </w:r>
          </w:p>
        </w:tc>
        <w:tc>
          <w:tcPr>
            <w:tcW w:type="dxa" w:w="3280"/>
            <w:tcBorders>
              <w:top w:val="single" w:color="D0D0D0" w:sz="1"/>
              <w:left w:val="single" w:color="D0D0D0" w:sz="1"/>
              <w:bottom w:val="single" w:color="D0D0D0" w:sz="1"/>
              <w:right w:val="single" w:color="D0D0D0" w:sz="1"/>
            </w:tcBorders>
            <w:shd w:fill="FDE8D0" w:val="clear"/>
            <w:tcMar>
              <w:top w:type="dxa" w:w="80"/>
              <w:left w:type="dxa" w:w="140"/>
              <w:bottom w:type="dxa" w:w="80"/>
              <w:right w:type="dxa" w:w="140"/>
            </w:tcMar>
          </w:tcPr>
          <w:p>
            <w:r>
              <w:rPr>
                <w:rFonts w:ascii="Arial" w:cs="Arial" w:eastAsia="Arial" w:hAnsi="Arial"/>
                <w:b w:val="false"/>
                <w:bCs w:val="false"/>
                <w:color w:val="333333"/>
                <w:sz w:val="20"/>
                <w:szCs w:val="20"/>
              </w:rPr>
              <w:t xml:space="preserve">Linguagem comum e comparável entre contas, squads e períodos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POF — Analistas de Conciliação</w:t>
            </w:r>
          </w:p>
        </w:tc>
        <w:tc>
          <w:tcPr>
            <w:tcW w:type="dxa" w:w="34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Visão contextual da saúde das contas que operam; subsidia feedbacks ao Build</w:t>
            </w:r>
          </w:p>
        </w:tc>
        <w:tc>
          <w:tcPr>
            <w:tcW w:type="dxa" w:w="32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Melhoria contínua orientada por dados, não por percepção</w:t>
            </w:r>
          </w:p>
        </w:tc>
      </w:tr>
      <w:tr>
        <w:tc>
          <w:tcPr>
            <w:tcW w:type="dxa" w:w="2600"/>
            <w:tcBorders>
              <w:top w:val="single" w:color="D0D0D0" w:sz="1"/>
              <w:left w:val="single" w:color="D0D0D0" w:sz="1"/>
              <w:bottom w:val="single" w:color="D0D0D0" w:sz="1"/>
              <w:right w:val="single" w:color="D0D0D0" w:sz="1"/>
            </w:tcBorders>
            <w:shd w:fill="FDE8D0" w:val="clear"/>
            <w:tcMar>
              <w:top w:type="dxa" w:w="80"/>
              <w:left w:type="dxa" w:w="140"/>
              <w:bottom w:type="dxa" w:w="80"/>
              <w:right w:type="dxa" w:w="140"/>
            </w:tcMar>
          </w:tcPr>
          <w:p>
            <w:r>
              <w:rPr>
                <w:rFonts w:ascii="Arial" w:cs="Arial" w:eastAsia="Arial" w:hAnsi="Arial"/>
                <w:b/>
                <w:bCs/>
                <w:color w:val="333333"/>
                <w:sz w:val="20"/>
                <w:szCs w:val="20"/>
              </w:rPr>
              <w:t xml:space="preserve">Produtos que geram dados contábeis</w:t>
            </w:r>
          </w:p>
        </w:tc>
        <w:tc>
          <w:tcPr>
            <w:tcW w:type="dxa" w:w="3480"/>
            <w:tcBorders>
              <w:top w:val="single" w:color="D0D0D0" w:sz="1"/>
              <w:left w:val="single" w:color="D0D0D0" w:sz="1"/>
              <w:bottom w:val="single" w:color="D0D0D0" w:sz="1"/>
              <w:right w:val="single" w:color="D0D0D0" w:sz="1"/>
            </w:tcBorders>
            <w:shd w:fill="FDE8D0" w:val="clear"/>
            <w:tcMar>
              <w:top w:type="dxa" w:w="80"/>
              <w:left w:type="dxa" w:w="140"/>
              <w:bottom w:type="dxa" w:w="80"/>
              <w:right w:type="dxa" w:w="140"/>
            </w:tcMar>
          </w:tcPr>
          <w:p>
            <w:r>
              <w:rPr>
                <w:rFonts w:ascii="Arial" w:cs="Arial" w:eastAsia="Arial" w:hAnsi="Arial"/>
                <w:b w:val="false"/>
                <w:bCs w:val="false"/>
                <w:color w:val="333333"/>
                <w:sz w:val="20"/>
                <w:szCs w:val="20"/>
              </w:rPr>
              <w:t xml:space="preserve">Visibilidade de como suas entregas impactam a saúde das contas contábeis</w:t>
            </w:r>
          </w:p>
        </w:tc>
        <w:tc>
          <w:tcPr>
            <w:tcW w:type="dxa" w:w="3280"/>
            <w:tcBorders>
              <w:top w:val="single" w:color="D0D0D0" w:sz="1"/>
              <w:left w:val="single" w:color="D0D0D0" w:sz="1"/>
              <w:bottom w:val="single" w:color="D0D0D0" w:sz="1"/>
              <w:right w:val="single" w:color="D0D0D0" w:sz="1"/>
            </w:tcBorders>
            <w:shd w:fill="FDE8D0" w:val="clear"/>
            <w:tcMar>
              <w:top w:type="dxa" w:w="80"/>
              <w:left w:type="dxa" w:w="140"/>
              <w:bottom w:type="dxa" w:w="80"/>
              <w:right w:type="dxa" w:w="140"/>
            </w:tcMar>
          </w:tcPr>
          <w:p>
            <w:r>
              <w:rPr>
                <w:rFonts w:ascii="Arial" w:cs="Arial" w:eastAsia="Arial" w:hAnsi="Arial"/>
                <w:b w:val="false"/>
                <w:bCs w:val="false"/>
                <w:color w:val="333333"/>
                <w:sz w:val="20"/>
                <w:szCs w:val="20"/>
              </w:rPr>
              <w:t xml:space="preserve">Incentivo concreto para incluir eventos de negócio na contabilização sistemicamente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Auditoria Interna</w:t>
            </w:r>
          </w:p>
        </w:tc>
        <w:tc>
          <w:tcPr>
            <w:tcW w:type="dxa" w:w="34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Histórico documentado e rastreável do estado de cada conta</w:t>
            </w:r>
          </w:p>
        </w:tc>
        <w:tc>
          <w:tcPr>
            <w:tcW w:type="dxa" w:w="32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Redução do esforço de preparação de auditorias e evidence gathering</w:t>
            </w:r>
          </w:p>
        </w:tc>
      </w:tr>
      <w:tr>
        <w:tc>
          <w:tcPr>
            <w:tcW w:type="dxa" w:w="2600"/>
            <w:tcBorders>
              <w:top w:val="single" w:color="D0D0D0" w:sz="1"/>
              <w:left w:val="single" w:color="D0D0D0" w:sz="1"/>
              <w:bottom w:val="single" w:color="D0D0D0" w:sz="1"/>
              <w:right w:val="single" w:color="D0D0D0" w:sz="1"/>
            </w:tcBorders>
            <w:shd w:fill="FDE8D0" w:val="clear"/>
            <w:tcMar>
              <w:top w:type="dxa" w:w="80"/>
              <w:left w:type="dxa" w:w="140"/>
              <w:bottom w:type="dxa" w:w="80"/>
              <w:right w:type="dxa" w:w="140"/>
            </w:tcMar>
          </w:tcPr>
          <w:p>
            <w:r>
              <w:rPr>
                <w:rFonts w:ascii="Arial" w:cs="Arial" w:eastAsia="Arial" w:hAnsi="Arial"/>
                <w:b/>
                <w:bCs/>
                <w:color w:val="333333"/>
                <w:sz w:val="20"/>
                <w:szCs w:val="20"/>
              </w:rPr>
              <w:t xml:space="preserve">Programa de Modernização AWS</w:t>
            </w:r>
          </w:p>
        </w:tc>
        <w:tc>
          <w:tcPr>
            <w:tcW w:type="dxa" w:w="3480"/>
            <w:tcBorders>
              <w:top w:val="single" w:color="D0D0D0" w:sz="1"/>
              <w:left w:val="single" w:color="D0D0D0" w:sz="1"/>
              <w:bottom w:val="single" w:color="D0D0D0" w:sz="1"/>
              <w:right w:val="single" w:color="D0D0D0" w:sz="1"/>
            </w:tcBorders>
            <w:shd w:fill="FDE8D0" w:val="clear"/>
            <w:tcMar>
              <w:top w:type="dxa" w:w="80"/>
              <w:left w:type="dxa" w:w="140"/>
              <w:bottom w:type="dxa" w:w="80"/>
              <w:right w:type="dxa" w:w="140"/>
            </w:tcMar>
          </w:tcPr>
          <w:p>
            <w:r>
              <w:rPr>
                <w:rFonts w:ascii="Arial" w:cs="Arial" w:eastAsia="Arial" w:hAnsi="Arial"/>
                <w:b w:val="false"/>
                <w:bCs w:val="false"/>
                <w:color w:val="333333"/>
                <w:sz w:val="20"/>
                <w:szCs w:val="20"/>
              </w:rPr>
              <w:t xml:space="preserve">Linha de base para comparação pré e pós migração de cada sistema</w:t>
            </w:r>
          </w:p>
        </w:tc>
        <w:tc>
          <w:tcPr>
            <w:tcW w:type="dxa" w:w="3280"/>
            <w:tcBorders>
              <w:top w:val="single" w:color="D0D0D0" w:sz="1"/>
              <w:left w:val="single" w:color="D0D0D0" w:sz="1"/>
              <w:bottom w:val="single" w:color="D0D0D0" w:sz="1"/>
              <w:right w:val="single" w:color="D0D0D0" w:sz="1"/>
            </w:tcBorders>
            <w:shd w:fill="FDE8D0" w:val="clear"/>
            <w:tcMar>
              <w:top w:type="dxa" w:w="80"/>
              <w:left w:type="dxa" w:w="140"/>
              <w:bottom w:type="dxa" w:w="80"/>
              <w:right w:type="dxa" w:w="140"/>
            </w:tcMar>
          </w:tcPr>
          <w:p>
            <w:r>
              <w:rPr>
                <w:rFonts w:ascii="Arial" w:cs="Arial" w:eastAsia="Arial" w:hAnsi="Arial"/>
                <w:b w:val="false"/>
                <w:bCs w:val="false"/>
                <w:color w:val="333333"/>
                <w:sz w:val="20"/>
                <w:szCs w:val="20"/>
              </w:rPr>
              <w:t xml:space="preserve">Garantia de que problemas legados são resolvidos, não apenas migrados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C7000" w:val="clear"/>
            <w:tcMar>
              <w:top w:type="dxa" w:w="0"/>
              <w:left w:type="dxa" w:w="0"/>
              <w:bottom w:type="dxa" w:w="0"/>
              <w:right w:type="dxa" w:w="0"/>
            </w:tcMar>
          </w:tcPr>
          <w:p>
            <w:r>
              <w:t xml:space="preserve"/>
            </w:r>
          </w:p>
        </w:tc>
        <w:tc>
          <w:tcPr>
            <w:tcW w:type="dxa" w:w="8880"/>
            <w:tcBorders>
              <w:top w:val="none" w:color="FFFFFF" w:sz="0"/>
              <w:left w:val="none" w:color="FFFFFF" w:sz="0"/>
              <w:bottom w:val="none" w:color="FFFFFF" w:sz="0"/>
              <w:right w:val="none" w:color="FFFFFF" w:sz="0"/>
            </w:tcBorders>
            <w:shd w:fill="003087" w:val="clear"/>
            <w:tcMar>
              <w:top w:type="dxa" w:w="140"/>
              <w:left w:type="dxa" w:w="280"/>
              <w:bottom w:type="dxa" w:w="140"/>
              <w:right w:type="dxa" w:w="280"/>
            </w:tcMar>
          </w:tcPr>
          <w:p>
            <w:r>
              <w:rPr>
                <w:rFonts w:ascii="Arial" w:cs="Arial" w:eastAsia="Arial" w:hAnsi="Arial"/>
                <w:b/>
                <w:bCs/>
                <w:caps/>
                <w:color w:val="FFFFFF"/>
                <w:sz w:val="28"/>
                <w:szCs w:val="28"/>
              </w:rPr>
              <w:t xml:space="preserve">7. Funcionalidades Core — MVP</w:t>
            </w:r>
          </w:p>
        </w:tc>
      </w:tr>
    </w:tbl>
    <w:p>
      <w:pPr>
        <w:spacing w:after="0" w:before="120"/>
      </w:pPr>
      <w:r>
        <w:t xml:space="preserve"/>
      </w:r>
    </w:p>
    <w:p>
      <w:pPr>
        <w:pStyle w:val="Heading2"/>
        <w:spacing w:after="80" w:before="240"/>
      </w:pPr>
      <w:r>
        <w:rPr>
          <w:rFonts w:ascii="Arial" w:cs="Arial" w:eastAsia="Arial" w:hAnsi="Arial"/>
          <w:b/>
          <w:bCs/>
          <w:color w:val="EC7000"/>
          <w:sz w:val="26"/>
          <w:szCs w:val="26"/>
        </w:rPr>
        <w:t xml:space="preserve">7.1 Dashboard de Saúde do Portfólio Contábil</w:t>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Visão consolidada do score médio do portfólio e distribuição por faixas de saúde</w:t>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Filtros dinâmicos: por segmento de conta, sistema de roteirização (BG, PO/P6, DW6, BG+, PO+), produto responsável e período</w:t>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Mapa de calor das contas: visualização da distribuição de saúde no portfólio</w:t>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Tendência temporal: evolução do score do portfólio e de contas individuais</w:t>
      </w:r>
    </w:p>
    <w:p>
      <w:pPr>
        <w:spacing w:after="0" w:before="80"/>
      </w:pPr>
      <w:r>
        <w:t xml:space="preserve"/>
      </w:r>
    </w:p>
    <w:p>
      <w:pPr>
        <w:pStyle w:val="Heading2"/>
        <w:spacing w:after="80" w:before="240"/>
      </w:pPr>
      <w:r>
        <w:rPr>
          <w:rFonts w:ascii="Arial" w:cs="Arial" w:eastAsia="Arial" w:hAnsi="Arial"/>
          <w:b/>
          <w:bCs/>
          <w:color w:val="EC7000"/>
          <w:sz w:val="26"/>
          <w:szCs w:val="26"/>
        </w:rPr>
        <w:t xml:space="preserve">7.2 Ficha Diagnóstica de Conta Contábil</w:t>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Score geral e breakdown por dimensão (completude do produto, rastreabilidade, modernidade tecnológica, tempestividade, governança)</w:t>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Linha do tempo de eventos relevantes: troca de sistema, picos de lançamentos manuais, intervenções do Build</w:t>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Insights gerados por IA: interpretação dos indicadores e recomendações de próximas ações</w:t>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Comparativo com contas similares (mesmo sistema de roteirização, mesmo segmento)</w:t>
      </w:r>
    </w:p>
    <w:p>
      <w:pPr>
        <w:spacing w:after="0" w:before="80"/>
      </w:pPr>
      <w:r>
        <w:t xml:space="preserve"/>
      </w:r>
    </w:p>
    <w:p>
      <w:pPr>
        <w:pStyle w:val="Heading2"/>
        <w:spacing w:after="80" w:before="240"/>
      </w:pPr>
      <w:r>
        <w:rPr>
          <w:rFonts w:ascii="Arial" w:cs="Arial" w:eastAsia="Arial" w:hAnsi="Arial"/>
          <w:b/>
          <w:bCs/>
          <w:color w:val="EC7000"/>
          <w:sz w:val="26"/>
          <w:szCs w:val="26"/>
        </w:rPr>
        <w:t xml:space="preserve">7.3 Motor de Scoring com IA</w:t>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Pipeline automatizado de ingestão a partir dos sistemas fonte (ERP contábil, sistemas de roteirização, data lake)</w:t>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Recálculo periódico configurável (diário, semanal, mensal)</w:t>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Auditabilidade completa: cada score acompanhado de todos os dados e pesos utilizados no cálculo</w:t>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Módulo de calibração dos pesos com validação pelos SMEs contábeis</w:t>
      </w:r>
    </w:p>
    <w:p>
      <w:pPr>
        <w:spacing w:after="0" w:before="80"/>
      </w:pPr>
      <w:r>
        <w:t xml:space="preserve"/>
      </w:r>
    </w:p>
    <w:p>
      <w:pPr>
        <w:pStyle w:val="Heading2"/>
        <w:spacing w:after="80" w:before="240"/>
      </w:pPr>
      <w:r>
        <w:rPr>
          <w:rFonts w:ascii="Arial" w:cs="Arial" w:eastAsia="Arial" w:hAnsi="Arial"/>
          <w:b/>
          <w:bCs/>
          <w:color w:val="EC7000"/>
          <w:sz w:val="26"/>
          <w:szCs w:val="26"/>
        </w:rPr>
        <w:t xml:space="preserve">7.4 Visão Estratégica para o Build</w:t>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Lista priorizada de contas para acionamento, ordenada por score e impacto potencial</w:t>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Comparativo pré/pós modernização: benchmark de score antes e depois da migração de sistema</w:t>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Relatório de GAPs por produto: visão agregada dos problemas por produto que alimenta a contabilização</w:t>
      </w:r>
    </w:p>
    <w:p>
      <w:pPr>
        <w:spacing w:after="0" w:before="80"/>
      </w:pPr>
      <w:r>
        <w:t xml:space="preserve"/>
      </w:r>
    </w:p>
    <w:p>
      <w:pPr>
        <w:pStyle w:val="Heading2"/>
        <w:spacing w:after="80" w:before="240"/>
      </w:pPr>
      <w:r>
        <w:rPr>
          <w:rFonts w:ascii="Arial" w:cs="Arial" w:eastAsia="Arial" w:hAnsi="Arial"/>
          <w:b/>
          <w:bCs/>
          <w:color w:val="EC7000"/>
          <w:sz w:val="26"/>
          <w:szCs w:val="26"/>
        </w:rPr>
        <w:t xml:space="preserve">7.5 Alertas e Notificações Inteligentes</w:t>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Alerta quando uma conta desce de faixa de saúde (ex.: de Em Observação para Crítico)</w:t>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Notificação proativa ao Build quando contas de produtos em fase de modernização apresentam GAPs relevantes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C7000" w:val="clear"/>
            <w:tcMar>
              <w:top w:type="dxa" w:w="0"/>
              <w:left w:type="dxa" w:w="0"/>
              <w:bottom w:type="dxa" w:w="0"/>
              <w:right w:type="dxa" w:w="0"/>
            </w:tcMar>
          </w:tcPr>
          <w:p>
            <w:r>
              <w:t xml:space="preserve"/>
            </w:r>
          </w:p>
        </w:tc>
        <w:tc>
          <w:tcPr>
            <w:tcW w:type="dxa" w:w="8880"/>
            <w:tcBorders>
              <w:top w:val="none" w:color="FFFFFF" w:sz="0"/>
              <w:left w:val="none" w:color="FFFFFF" w:sz="0"/>
              <w:bottom w:val="none" w:color="FFFFFF" w:sz="0"/>
              <w:right w:val="none" w:color="FFFFFF" w:sz="0"/>
            </w:tcBorders>
            <w:shd w:fill="003087" w:val="clear"/>
            <w:tcMar>
              <w:top w:type="dxa" w:w="140"/>
              <w:left w:type="dxa" w:w="280"/>
              <w:bottom w:type="dxa" w:w="140"/>
              <w:right w:type="dxa" w:w="280"/>
            </w:tcMar>
          </w:tcPr>
          <w:p>
            <w:r>
              <w:rPr>
                <w:rFonts w:ascii="Arial" w:cs="Arial" w:eastAsia="Arial" w:hAnsi="Arial"/>
                <w:b/>
                <w:bCs/>
                <w:caps/>
                <w:color w:val="FFFFFF"/>
                <w:sz w:val="28"/>
                <w:szCs w:val="28"/>
              </w:rPr>
              <w:t xml:space="preserve">8. Roadmap de Entregas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660"/>
        <w:gridCol w:w="2400"/>
      </w:tblGrid>
      <w:tr>
        <w:trPr>
          <w:tblHeader/>
        </w:trPr>
        <w:tc>
          <w:tcPr>
            <w:tcW w:type="dxa" w:w="1500"/>
            <w:tcBorders>
              <w:top w:val="single" w:color="EC7000" w:sz="1"/>
              <w:left w:val="single" w:color="EC7000" w:sz="1"/>
              <w:bottom w:val="single" w:color="EC7000" w:sz="1"/>
              <w:right w:val="single" w:color="EC7000" w:sz="1"/>
            </w:tcBorders>
            <w:shd w:fill="EC7000"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1800"/>
            <w:tcBorders>
              <w:top w:val="single" w:color="EC7000" w:sz="1"/>
              <w:left w:val="single" w:color="EC7000" w:sz="1"/>
              <w:bottom w:val="single" w:color="EC7000" w:sz="1"/>
              <w:right w:val="single" w:color="EC7000" w:sz="1"/>
            </w:tcBorders>
            <w:shd w:fill="EC7000" w:val="clear"/>
            <w:tcMar>
              <w:top w:type="dxa" w:w="80"/>
              <w:left w:type="dxa" w:w="120"/>
              <w:bottom w:type="dxa" w:w="80"/>
              <w:right w:type="dxa" w:w="120"/>
            </w:tcMar>
          </w:tcPr>
          <w:p>
            <w:r>
              <w:rPr>
                <w:rFonts w:ascii="Arial" w:cs="Arial" w:eastAsia="Arial" w:hAnsi="Arial"/>
                <w:b/>
                <w:bCs/>
                <w:color w:val="FFFFFF"/>
                <w:sz w:val="20"/>
                <w:szCs w:val="20"/>
              </w:rPr>
              <w:t xml:space="preserve">Período</w:t>
            </w:r>
          </w:p>
        </w:tc>
        <w:tc>
          <w:tcPr>
            <w:tcW w:type="dxa" w:w="3660"/>
            <w:tcBorders>
              <w:top w:val="single" w:color="EC7000" w:sz="1"/>
              <w:left w:val="single" w:color="EC7000" w:sz="1"/>
              <w:bottom w:val="single" w:color="EC7000" w:sz="1"/>
              <w:right w:val="single" w:color="EC7000" w:sz="1"/>
            </w:tcBorders>
            <w:shd w:fill="EC7000" w:val="clear"/>
            <w:tcMar>
              <w:top w:type="dxa" w:w="80"/>
              <w:left w:type="dxa" w:w="120"/>
              <w:bottom w:type="dxa" w:w="80"/>
              <w:right w:type="dxa" w:w="120"/>
            </w:tcMar>
          </w:tcPr>
          <w:p>
            <w:r>
              <w:rPr>
                <w:rFonts w:ascii="Arial" w:cs="Arial" w:eastAsia="Arial" w:hAnsi="Arial"/>
                <w:b/>
                <w:bCs/>
                <w:color w:val="FFFFFF"/>
                <w:sz w:val="20"/>
                <w:szCs w:val="20"/>
              </w:rPr>
              <w:t xml:space="preserve">Entregáveis</w:t>
            </w:r>
          </w:p>
        </w:tc>
        <w:tc>
          <w:tcPr>
            <w:tcW w:type="dxa" w:w="2400"/>
            <w:tcBorders>
              <w:top w:val="single" w:color="EC7000" w:sz="1"/>
              <w:left w:val="single" w:color="EC7000" w:sz="1"/>
              <w:bottom w:val="single" w:color="EC7000" w:sz="1"/>
              <w:right w:val="single" w:color="EC7000" w:sz="1"/>
            </w:tcBorders>
            <w:shd w:fill="EC7000" w:val="clear"/>
            <w:tcMar>
              <w:top w:type="dxa" w:w="80"/>
              <w:left w:type="dxa" w:w="120"/>
              <w:bottom w:type="dxa" w:w="80"/>
              <w:right w:type="dxa" w:w="120"/>
            </w:tcMar>
          </w:tcPr>
          <w:p>
            <w:r>
              <w:rPr>
                <w:rFonts w:ascii="Arial" w:cs="Arial" w:eastAsia="Arial" w:hAnsi="Arial"/>
                <w:b/>
                <w:bCs/>
                <w:color w:val="FFFFFF"/>
                <w:sz w:val="20"/>
                <w:szCs w:val="20"/>
              </w:rPr>
              <w:t xml:space="preserve">Critério de Sucesso</w:t>
            </w:r>
          </w:p>
        </w:tc>
      </w:tr>
      <w:tr>
        <w:tc>
          <w:tcPr>
            <w:tcW w:type="dxa" w:w="1500"/>
            <w:tcBorders>
              <w:top w:val="single" w:color="D0D0D0" w:sz="1"/>
              <w:left w:val="single" w:color="D0D0D0" w:sz="1"/>
              <w:bottom w:val="single" w:color="D0D0D0" w:sz="1"/>
              <w:right w:val="single" w:color="D0D0D0" w:sz="1"/>
            </w:tcBorders>
            <w:shd w:fill="FFFFFF" w:val="clear"/>
            <w:tcMar>
              <w:top w:type="dxa" w:w="100"/>
              <w:left w:type="dxa" w:w="120"/>
              <w:bottom w:type="dxa" w:w="100"/>
              <w:right w:type="dxa" w:w="120"/>
            </w:tcMar>
          </w:tcPr>
          <w:p>
            <w:r>
              <w:rPr>
                <w:rFonts w:ascii="Arial" w:cs="Arial" w:eastAsia="Arial" w:hAnsi="Arial"/>
                <w:b/>
                <w:bCs/>
                <w:color w:val="333333"/>
                <w:sz w:val="19"/>
                <w:szCs w:val="19"/>
              </w:rPr>
              <w:t xml:space="preserve">Fase 0
Discovery</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20"/>
              <w:bottom w:type="dxa" w:w="100"/>
              <w:right w:type="dxa" w:w="120"/>
            </w:tcMar>
          </w:tcPr>
          <w:p>
            <w:r>
              <w:rPr>
                <w:rFonts w:ascii="Arial" w:cs="Arial" w:eastAsia="Arial" w:hAnsi="Arial"/>
                <w:b w:val="false"/>
                <w:bCs w:val="false"/>
                <w:color w:val="333333"/>
                <w:sz w:val="19"/>
                <w:szCs w:val="19"/>
              </w:rPr>
              <w:t xml:space="preserve">Meses 1–2</w:t>
            </w:r>
          </w:p>
        </w:tc>
        <w:tc>
          <w:tcPr>
            <w:tcW w:type="dxa" w:w="3660"/>
            <w:tcBorders>
              <w:top w:val="single" w:color="D0D0D0" w:sz="1"/>
              <w:left w:val="single" w:color="D0D0D0" w:sz="1"/>
              <w:bottom w:val="single" w:color="D0D0D0" w:sz="1"/>
              <w:right w:val="single" w:color="D0D0D0" w:sz="1"/>
            </w:tcBorders>
            <w:shd w:fill="FFFFFF" w:val="clear"/>
            <w:tcMar>
              <w:top w:type="dxa" w:w="100"/>
              <w:left w:type="dxa" w:w="120"/>
              <w:bottom w:type="dxa" w:w="100"/>
              <w:right w:type="dxa" w:w="120"/>
            </w:tcMar>
          </w:tcPr>
          <w:p>
            <w:r>
              <w:rPr>
                <w:rFonts w:ascii="Arial" w:cs="Arial" w:eastAsia="Arial" w:hAnsi="Arial"/>
                <w:b w:val="false"/>
                <w:bCs w:val="false"/>
                <w:color w:val="333333"/>
                <w:sz w:val="19"/>
                <w:szCs w:val="19"/>
              </w:rPr>
              <w:t xml:space="preserve">Mapeamento dos sistemas fonte (BG, PO/P6, DW6, BG+, PO+); data profiling; codesign do modelo de scoring com SMEs contábeis; seleção de contas-piloto; validação dos pesos iniciais</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20"/>
              <w:bottom w:type="dxa" w:w="100"/>
              <w:right w:type="dxa" w:w="120"/>
            </w:tcMar>
          </w:tcPr>
          <w:p>
            <w:r>
              <w:rPr>
                <w:rFonts w:ascii="Arial" w:cs="Arial" w:eastAsia="Arial" w:hAnsi="Arial"/>
                <w:b w:val="false"/>
                <w:bCs w:val="false"/>
                <w:color w:val="333333"/>
                <w:sz w:val="19"/>
                <w:szCs w:val="19"/>
              </w:rPr>
              <w:t xml:space="preserve">Modelo de scoring aprovado pelos SMEs; inventário de GAPs de dados concluído</w:t>
            </w:r>
          </w:p>
        </w:tc>
      </w:tr>
      <w:tr>
        <w:tc>
          <w:tcPr>
            <w:tcW w:type="dxa" w:w="1500"/>
            <w:tcBorders>
              <w:top w:val="single" w:color="D0D0D0" w:sz="1"/>
              <w:left w:val="single" w:color="D0D0D0" w:sz="1"/>
              <w:bottom w:val="single" w:color="D0D0D0" w:sz="1"/>
              <w:right w:val="single" w:color="D0D0D0" w:sz="1"/>
            </w:tcBorders>
            <w:shd w:fill="F5F5F5" w:val="clear"/>
            <w:tcMar>
              <w:top w:type="dxa" w:w="100"/>
              <w:left w:type="dxa" w:w="120"/>
              <w:bottom w:type="dxa" w:w="100"/>
              <w:right w:type="dxa" w:w="120"/>
            </w:tcMar>
          </w:tcPr>
          <w:p>
            <w:r>
              <w:rPr>
                <w:rFonts w:ascii="Arial" w:cs="Arial" w:eastAsia="Arial" w:hAnsi="Arial"/>
                <w:b/>
                <w:bCs/>
                <w:color w:val="333333"/>
                <w:sz w:val="19"/>
                <w:szCs w:val="19"/>
              </w:rPr>
              <w:t xml:space="preserve">Fase 1
MVP</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20"/>
              <w:bottom w:type="dxa" w:w="100"/>
              <w:right w:type="dxa" w:w="120"/>
            </w:tcMar>
          </w:tcPr>
          <w:p>
            <w:r>
              <w:rPr>
                <w:rFonts w:ascii="Arial" w:cs="Arial" w:eastAsia="Arial" w:hAnsi="Arial"/>
                <w:b w:val="false"/>
                <w:bCs w:val="false"/>
                <w:color w:val="333333"/>
                <w:sz w:val="19"/>
                <w:szCs w:val="19"/>
              </w:rPr>
              <w:t xml:space="preserve">Meses 3–5</w:t>
            </w:r>
          </w:p>
        </w:tc>
        <w:tc>
          <w:tcPr>
            <w:tcW w:type="dxa" w:w="3660"/>
            <w:tcBorders>
              <w:top w:val="single" w:color="D0D0D0" w:sz="1"/>
              <w:left w:val="single" w:color="D0D0D0" w:sz="1"/>
              <w:bottom w:val="single" w:color="D0D0D0" w:sz="1"/>
              <w:right w:val="single" w:color="D0D0D0" w:sz="1"/>
            </w:tcBorders>
            <w:shd w:fill="F5F5F5" w:val="clear"/>
            <w:tcMar>
              <w:top w:type="dxa" w:w="100"/>
              <w:left w:type="dxa" w:w="120"/>
              <w:bottom w:type="dxa" w:w="100"/>
              <w:right w:type="dxa" w:w="120"/>
            </w:tcMar>
          </w:tcPr>
          <w:p>
            <w:r>
              <w:rPr>
                <w:rFonts w:ascii="Arial" w:cs="Arial" w:eastAsia="Arial" w:hAnsi="Arial"/>
                <w:b w:val="false"/>
                <w:bCs w:val="false"/>
                <w:color w:val="333333"/>
                <w:sz w:val="19"/>
                <w:szCs w:val="19"/>
              </w:rPr>
              <w:t xml:space="preserve">Pipeline de dados v1; motor de scoring com IA; dashboard de portfólio; ficha diagnóstica de conta; protótipo validado com o Build</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20"/>
              <w:bottom w:type="dxa" w:w="100"/>
              <w:right w:type="dxa" w:w="120"/>
            </w:tcMar>
          </w:tcPr>
          <w:p>
            <w:r>
              <w:rPr>
                <w:rFonts w:ascii="Arial" w:cs="Arial" w:eastAsia="Arial" w:hAnsi="Arial"/>
                <w:b w:val="false"/>
                <w:bCs w:val="false"/>
                <w:color w:val="333333"/>
                <w:sz w:val="19"/>
                <w:szCs w:val="19"/>
              </w:rPr>
              <w:t xml:space="preserve">Score calculado para 100% das contas do piloto; Build usando o dashboard nas conversas com produtos</w:t>
            </w:r>
          </w:p>
        </w:tc>
      </w:tr>
      <w:tr>
        <w:tc>
          <w:tcPr>
            <w:tcW w:type="dxa" w:w="1500"/>
            <w:tcBorders>
              <w:top w:val="single" w:color="D0D0D0" w:sz="1"/>
              <w:left w:val="single" w:color="D0D0D0" w:sz="1"/>
              <w:bottom w:val="single" w:color="D0D0D0" w:sz="1"/>
              <w:right w:val="single" w:color="D0D0D0" w:sz="1"/>
            </w:tcBorders>
            <w:shd w:fill="FFFFFF" w:val="clear"/>
            <w:tcMar>
              <w:top w:type="dxa" w:w="100"/>
              <w:left w:type="dxa" w:w="120"/>
              <w:bottom w:type="dxa" w:w="100"/>
              <w:right w:type="dxa" w:w="120"/>
            </w:tcMar>
          </w:tcPr>
          <w:p>
            <w:r>
              <w:rPr>
                <w:rFonts w:ascii="Arial" w:cs="Arial" w:eastAsia="Arial" w:hAnsi="Arial"/>
                <w:b/>
                <w:bCs/>
                <w:color w:val="333333"/>
                <w:sz w:val="19"/>
                <w:szCs w:val="19"/>
              </w:rPr>
              <w:t xml:space="preserve">Fase 2
Consolidação</w:t>
            </w:r>
          </w:p>
        </w:tc>
        <w:tc>
          <w:tcPr>
            <w:tcW w:type="dxa" w:w="1800"/>
            <w:tcBorders>
              <w:top w:val="single" w:color="D0D0D0" w:sz="1"/>
              <w:left w:val="single" w:color="D0D0D0" w:sz="1"/>
              <w:bottom w:val="single" w:color="D0D0D0" w:sz="1"/>
              <w:right w:val="single" w:color="D0D0D0" w:sz="1"/>
            </w:tcBorders>
            <w:shd w:fill="FFFFFF" w:val="clear"/>
            <w:tcMar>
              <w:top w:type="dxa" w:w="100"/>
              <w:left w:type="dxa" w:w="120"/>
              <w:bottom w:type="dxa" w:w="100"/>
              <w:right w:type="dxa" w:w="120"/>
            </w:tcMar>
          </w:tcPr>
          <w:p>
            <w:r>
              <w:rPr>
                <w:rFonts w:ascii="Arial" w:cs="Arial" w:eastAsia="Arial" w:hAnsi="Arial"/>
                <w:b w:val="false"/>
                <w:bCs w:val="false"/>
                <w:color w:val="333333"/>
                <w:sz w:val="19"/>
                <w:szCs w:val="19"/>
              </w:rPr>
              <w:t xml:space="preserve">Meses 6–8</w:t>
            </w:r>
          </w:p>
        </w:tc>
        <w:tc>
          <w:tcPr>
            <w:tcW w:type="dxa" w:w="3660"/>
            <w:tcBorders>
              <w:top w:val="single" w:color="D0D0D0" w:sz="1"/>
              <w:left w:val="single" w:color="D0D0D0" w:sz="1"/>
              <w:bottom w:val="single" w:color="D0D0D0" w:sz="1"/>
              <w:right w:val="single" w:color="D0D0D0" w:sz="1"/>
            </w:tcBorders>
            <w:shd w:fill="FFFFFF" w:val="clear"/>
            <w:tcMar>
              <w:top w:type="dxa" w:w="100"/>
              <w:left w:type="dxa" w:w="120"/>
              <w:bottom w:type="dxa" w:w="100"/>
              <w:right w:type="dxa" w:w="120"/>
            </w:tcMar>
          </w:tcPr>
          <w:p>
            <w:r>
              <w:rPr>
                <w:rFonts w:ascii="Arial" w:cs="Arial" w:eastAsia="Arial" w:hAnsi="Arial"/>
                <w:b w:val="false"/>
                <w:bCs w:val="false"/>
                <w:color w:val="333333"/>
                <w:sz w:val="19"/>
                <w:szCs w:val="19"/>
              </w:rPr>
              <w:t xml:space="preserve">Alertas e notificações; visão estratégica para o Build; refinamento dos pesos com feedback; integração com workflow do programa de modernização</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20"/>
              <w:bottom w:type="dxa" w:w="100"/>
              <w:right w:type="dxa" w:w="120"/>
            </w:tcMar>
          </w:tcPr>
          <w:p>
            <w:r>
              <w:rPr>
                <w:rFonts w:ascii="Arial" w:cs="Arial" w:eastAsia="Arial" w:hAnsi="Arial"/>
                <w:b w:val="false"/>
                <w:bCs w:val="false"/>
                <w:color w:val="333333"/>
                <w:sz w:val="19"/>
                <w:szCs w:val="19"/>
              </w:rPr>
              <w:t xml:space="preserve">Score como insumo oficial nas reuniões de acionamento para modernização</w:t>
            </w:r>
          </w:p>
        </w:tc>
      </w:tr>
      <w:tr>
        <w:tc>
          <w:tcPr>
            <w:tcW w:type="dxa" w:w="1500"/>
            <w:tcBorders>
              <w:top w:val="single" w:color="D0D0D0" w:sz="1"/>
              <w:left w:val="single" w:color="D0D0D0" w:sz="1"/>
              <w:bottom w:val="single" w:color="D0D0D0" w:sz="1"/>
              <w:right w:val="single" w:color="D0D0D0" w:sz="1"/>
            </w:tcBorders>
            <w:shd w:fill="F5F5F5" w:val="clear"/>
            <w:tcMar>
              <w:top w:type="dxa" w:w="100"/>
              <w:left w:type="dxa" w:w="120"/>
              <w:bottom w:type="dxa" w:w="100"/>
              <w:right w:type="dxa" w:w="120"/>
            </w:tcMar>
          </w:tcPr>
          <w:p>
            <w:r>
              <w:rPr>
                <w:rFonts w:ascii="Arial" w:cs="Arial" w:eastAsia="Arial" w:hAnsi="Arial"/>
                <w:b/>
                <w:bCs/>
                <w:color w:val="333333"/>
                <w:sz w:val="19"/>
                <w:szCs w:val="19"/>
              </w:rPr>
              <w:t xml:space="preserve">Fase 3
Escala e IA Avançada</w:t>
            </w:r>
          </w:p>
        </w:tc>
        <w:tc>
          <w:tcPr>
            <w:tcW w:type="dxa" w:w="1800"/>
            <w:tcBorders>
              <w:top w:val="single" w:color="D0D0D0" w:sz="1"/>
              <w:left w:val="single" w:color="D0D0D0" w:sz="1"/>
              <w:bottom w:val="single" w:color="D0D0D0" w:sz="1"/>
              <w:right w:val="single" w:color="D0D0D0" w:sz="1"/>
            </w:tcBorders>
            <w:shd w:fill="F5F5F5" w:val="clear"/>
            <w:tcMar>
              <w:top w:type="dxa" w:w="100"/>
              <w:left w:type="dxa" w:w="120"/>
              <w:bottom w:type="dxa" w:w="100"/>
              <w:right w:type="dxa" w:w="120"/>
            </w:tcMar>
          </w:tcPr>
          <w:p>
            <w:r>
              <w:rPr>
                <w:rFonts w:ascii="Arial" w:cs="Arial" w:eastAsia="Arial" w:hAnsi="Arial"/>
                <w:b w:val="false"/>
                <w:bCs w:val="false"/>
                <w:color w:val="333333"/>
                <w:sz w:val="19"/>
                <w:szCs w:val="19"/>
              </w:rPr>
              <w:t xml:space="preserve">Meses 9–12</w:t>
            </w:r>
          </w:p>
        </w:tc>
        <w:tc>
          <w:tcPr>
            <w:tcW w:type="dxa" w:w="3660"/>
            <w:tcBorders>
              <w:top w:val="single" w:color="D0D0D0" w:sz="1"/>
              <w:left w:val="single" w:color="D0D0D0" w:sz="1"/>
              <w:bottom w:val="single" w:color="D0D0D0" w:sz="1"/>
              <w:right w:val="single" w:color="D0D0D0" w:sz="1"/>
            </w:tcBorders>
            <w:shd w:fill="F5F5F5" w:val="clear"/>
            <w:tcMar>
              <w:top w:type="dxa" w:w="100"/>
              <w:left w:type="dxa" w:w="120"/>
              <w:bottom w:type="dxa" w:w="100"/>
              <w:right w:type="dxa" w:w="120"/>
            </w:tcMar>
          </w:tcPr>
          <w:p>
            <w:r>
              <w:rPr>
                <w:rFonts w:ascii="Arial" w:cs="Arial" w:eastAsia="Arial" w:hAnsi="Arial"/>
                <w:b w:val="false"/>
                <w:bCs w:val="false"/>
                <w:color w:val="333333"/>
                <w:sz w:val="19"/>
                <w:szCs w:val="19"/>
              </w:rPr>
              <w:t xml:space="preserve">Expansão para 100% do portfólio; modelo de IA para detecção de padrões e predição de deterioração; APIs para integração com outros sistemas do ecossistema contábil</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20"/>
              <w:bottom w:type="dxa" w:w="100"/>
              <w:right w:type="dxa" w:w="120"/>
            </w:tcMar>
          </w:tcPr>
          <w:p>
            <w:r>
              <w:rPr>
                <w:rFonts w:ascii="Arial" w:cs="Arial" w:eastAsia="Arial" w:hAnsi="Arial"/>
                <w:b w:val="false"/>
                <w:bCs w:val="false"/>
                <w:color w:val="333333"/>
                <w:sz w:val="19"/>
                <w:szCs w:val="19"/>
              </w:rPr>
              <w:t xml:space="preserve">Score como KPI oficial da gerência; redução mensurável do leadtime de modernização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C7000" w:val="clear"/>
            <w:tcMar>
              <w:top w:type="dxa" w:w="0"/>
              <w:left w:type="dxa" w:w="0"/>
              <w:bottom w:type="dxa" w:w="0"/>
              <w:right w:type="dxa" w:w="0"/>
            </w:tcMar>
          </w:tcPr>
          <w:p>
            <w:r>
              <w:t xml:space="preserve"/>
            </w:r>
          </w:p>
        </w:tc>
        <w:tc>
          <w:tcPr>
            <w:tcW w:type="dxa" w:w="8880"/>
            <w:tcBorders>
              <w:top w:val="none" w:color="FFFFFF" w:sz="0"/>
              <w:left w:val="none" w:color="FFFFFF" w:sz="0"/>
              <w:bottom w:val="none" w:color="FFFFFF" w:sz="0"/>
              <w:right w:val="none" w:color="FFFFFF" w:sz="0"/>
            </w:tcBorders>
            <w:shd w:fill="003087" w:val="clear"/>
            <w:tcMar>
              <w:top w:type="dxa" w:w="140"/>
              <w:left w:type="dxa" w:w="280"/>
              <w:bottom w:type="dxa" w:w="140"/>
              <w:right w:type="dxa" w:w="280"/>
            </w:tcMar>
          </w:tcPr>
          <w:p>
            <w:r>
              <w:rPr>
                <w:rFonts w:ascii="Arial" w:cs="Arial" w:eastAsia="Arial" w:hAnsi="Arial"/>
                <w:b/>
                <w:bCs/>
                <w:caps/>
                <w:color w:val="FFFFFF"/>
                <w:sz w:val="28"/>
                <w:szCs w:val="28"/>
              </w:rPr>
              <w:t xml:space="preserve">9. Métricas de Sucesso e OKRs</w:t>
            </w:r>
          </w:p>
        </w:tc>
      </w:tr>
    </w:tbl>
    <w:p>
      <w:pPr>
        <w:spacing w:after="0" w:before="120"/>
      </w:pPr>
      <w:r>
        <w:t xml:space="preserve"/>
      </w:r>
    </w:p>
    <w:p>
      <w:pPr>
        <w:pStyle w:val="Heading2"/>
        <w:spacing w:after="80" w:before="240"/>
      </w:pPr>
      <w:r>
        <w:rPr>
          <w:rFonts w:ascii="Arial" w:cs="Arial" w:eastAsia="Arial" w:hAnsi="Arial"/>
          <w:b/>
          <w:bCs/>
          <w:color w:val="EC7000"/>
          <w:sz w:val="26"/>
          <w:szCs w:val="26"/>
        </w:rPr>
        <w:t xml:space="preserve">9.1 Princípio de Medição</w:t>
      </w:r>
    </w:p>
    <w:p>
      <w:pPr>
        <w:spacing w:after="120" w:before="60"/>
        <w:jc w:val="both"/>
      </w:pPr>
      <w:r>
        <w:rPr>
          <w:rFonts w:ascii="Arial" w:cs="Arial" w:eastAsia="Arial" w:hAnsi="Arial"/>
          <w:b w:val="false"/>
          <w:bCs w:val="false"/>
          <w:i w:val="false"/>
          <w:iCs w:val="false"/>
          <w:color w:val="333333"/>
          <w:sz w:val="22"/>
          <w:szCs w:val="22"/>
        </w:rPr>
        <w:t xml:space="preserve">O RessonâncIA não é um produto de execução operacional — é um produto de diagnóstico e inteligência estratégica. Por isso, suas métricas de sucesso refletem impacto na qualidade das decisões e na velocidade das melhorias estruturais, não na eficiência de tarefas operacionais.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gridCol w:w="2880"/>
      </w:tblGrid>
      <w:tr>
        <w:trPr>
          <w:tblHeader/>
        </w:trPr>
        <w:tc>
          <w:tcPr>
            <w:tcW w:type="dxa" w:w="3000"/>
            <w:tcBorders>
              <w:top w:val="single" w:color="EC7000" w:sz="1"/>
              <w:left w:val="single" w:color="EC7000" w:sz="1"/>
              <w:bottom w:val="single" w:color="EC7000" w:sz="1"/>
              <w:right w:val="single" w:color="EC7000" w:sz="1"/>
            </w:tcBorders>
            <w:shd w:fill="003087" w:val="clear"/>
            <w:tcMar>
              <w:top w:type="dxa" w:w="80"/>
              <w:left w:type="dxa" w:w="140"/>
              <w:bottom w:type="dxa" w:w="80"/>
              <w:right w:type="dxa" w:w="140"/>
            </w:tcMar>
          </w:tcPr>
          <w:p>
            <w:r>
              <w:rPr>
                <w:rFonts w:ascii="Arial" w:cs="Arial" w:eastAsia="Arial" w:hAnsi="Arial"/>
                <w:b/>
                <w:bCs/>
                <w:color w:val="FFFFFF"/>
                <w:sz w:val="20"/>
                <w:szCs w:val="20"/>
              </w:rPr>
              <w:t xml:space="preserve">Objetivo (O)</w:t>
            </w:r>
          </w:p>
        </w:tc>
        <w:tc>
          <w:tcPr>
            <w:tcW w:type="dxa" w:w="3480"/>
            <w:tcBorders>
              <w:top w:val="single" w:color="EC7000" w:sz="1"/>
              <w:left w:val="single" w:color="EC7000" w:sz="1"/>
              <w:bottom w:val="single" w:color="EC7000" w:sz="1"/>
              <w:right w:val="single" w:color="EC7000" w:sz="1"/>
            </w:tcBorders>
            <w:shd w:fill="003087" w:val="clear"/>
            <w:tcMar>
              <w:top w:type="dxa" w:w="80"/>
              <w:left w:type="dxa" w:w="140"/>
              <w:bottom w:type="dxa" w:w="80"/>
              <w:right w:type="dxa" w:w="140"/>
            </w:tcMar>
          </w:tcPr>
          <w:p>
            <w:r>
              <w:rPr>
                <w:rFonts w:ascii="Arial" w:cs="Arial" w:eastAsia="Arial" w:hAnsi="Arial"/>
                <w:b/>
                <w:bCs/>
                <w:color w:val="FFFFFF"/>
                <w:sz w:val="20"/>
                <w:szCs w:val="20"/>
              </w:rPr>
              <w:t xml:space="preserve">Key Result (KR)</w:t>
            </w:r>
          </w:p>
        </w:tc>
        <w:tc>
          <w:tcPr>
            <w:tcW w:type="dxa" w:w="2880"/>
            <w:tcBorders>
              <w:top w:val="single" w:color="EC7000" w:sz="1"/>
              <w:left w:val="single" w:color="EC7000" w:sz="1"/>
              <w:bottom w:val="single" w:color="EC7000" w:sz="1"/>
              <w:right w:val="single" w:color="EC7000" w:sz="1"/>
            </w:tcBorders>
            <w:shd w:fill="003087" w:val="clear"/>
            <w:tcMar>
              <w:top w:type="dxa" w:w="80"/>
              <w:left w:type="dxa" w:w="140"/>
              <w:bottom w:type="dxa" w:w="80"/>
              <w:right w:type="dxa" w:w="140"/>
            </w:tcMar>
          </w:tcPr>
          <w:p>
            <w:r>
              <w:rPr>
                <w:rFonts w:ascii="Arial" w:cs="Arial" w:eastAsia="Arial" w:hAnsi="Arial"/>
                <w:b/>
                <w:bCs/>
                <w:color w:val="FFFFFF"/>
                <w:sz w:val="20"/>
                <w:szCs w:val="20"/>
              </w:rPr>
              <w:t xml:space="preserve">Meta — Dez/2026</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Tornar o diagnóstico contábil objetivo e sistemático</w:t>
            </w:r>
          </w:p>
        </w:tc>
        <w:tc>
          <w:tcPr>
            <w:tcW w:type="dxa" w:w="34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 do portfólio com score calculado e atualizado</w:t>
            </w:r>
          </w:p>
        </w:tc>
        <w:tc>
          <w:tcPr>
            <w:tcW w:type="dxa" w:w="28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333333"/>
                <w:sz w:val="19"/>
                <w:szCs w:val="19"/>
              </w:rPr>
              <w:t xml:space="preserve">100% das contas do programa de modernização cobertas</w:t>
            </w:r>
          </w:p>
        </w:tc>
      </w:tr>
      <w:tr>
        <w:tc>
          <w:tcPr>
            <w:tcW w:type="dxa" w:w="3000"/>
            <w:tcBorders>
              <w:top w:val="single" w:color="D0D0D0" w:sz="1"/>
              <w:left w:val="single" w:color="D0D0D0" w:sz="1"/>
              <w:bottom w:val="single" w:color="D0D0D0" w:sz="1"/>
              <w:right w:val="single" w:color="D0D0D0" w:sz="1"/>
            </w:tcBorders>
            <w:shd w:fill="FDE8D0" w:val="clear"/>
            <w:tcMar>
              <w:top w:type="dxa" w:w="80"/>
              <w:left w:type="dxa" w:w="140"/>
              <w:bottom w:type="dxa" w:w="80"/>
              <w:right w:type="dxa" w:w="140"/>
            </w:tcMar>
          </w:tcPr>
          <w:p>
            <w:r>
              <w:rPr>
                <w:rFonts w:ascii="Arial" w:cs="Arial" w:eastAsia="Arial" w:hAnsi="Arial"/>
                <w:b w:val="false"/>
                <w:bCs w:val="false"/>
                <w:color w:val="333333"/>
                <w:sz w:val="19"/>
                <w:szCs w:val="19"/>
              </w:rPr>
              <w:t xml:space="preserve">Elevar a saúde contábil do portfólio</w:t>
            </w:r>
          </w:p>
        </w:tc>
        <w:tc>
          <w:tcPr>
            <w:tcW w:type="dxa" w:w="3480"/>
            <w:tcBorders>
              <w:top w:val="single" w:color="D0D0D0" w:sz="1"/>
              <w:left w:val="single" w:color="D0D0D0" w:sz="1"/>
              <w:bottom w:val="single" w:color="D0D0D0" w:sz="1"/>
              <w:right w:val="single" w:color="D0D0D0" w:sz="1"/>
            </w:tcBorders>
            <w:shd w:fill="FDE8D0" w:val="clear"/>
            <w:tcMar>
              <w:top w:type="dxa" w:w="80"/>
              <w:left w:type="dxa" w:w="140"/>
              <w:bottom w:type="dxa" w:w="80"/>
              <w:right w:type="dxa" w:w="140"/>
            </w:tcMar>
          </w:tcPr>
          <w:p>
            <w:r>
              <w:rPr>
                <w:rFonts w:ascii="Arial" w:cs="Arial" w:eastAsia="Arial" w:hAnsi="Arial"/>
                <w:b w:val="false"/>
                <w:bCs w:val="false"/>
                <w:color w:val="333333"/>
                <w:sz w:val="19"/>
                <w:szCs w:val="19"/>
              </w:rPr>
              <w:t xml:space="preserve">% do portfólio na faixa Saudável (score &gt; 80)</w:t>
            </w:r>
          </w:p>
        </w:tc>
        <w:tc>
          <w:tcPr>
            <w:tcW w:type="dxa" w:w="2880"/>
            <w:tcBorders>
              <w:top w:val="single" w:color="D0D0D0" w:sz="1"/>
              <w:left w:val="single" w:color="D0D0D0" w:sz="1"/>
              <w:bottom w:val="single" w:color="D0D0D0" w:sz="1"/>
              <w:right w:val="single" w:color="D0D0D0" w:sz="1"/>
            </w:tcBorders>
            <w:shd w:fill="FDE8D0" w:val="clear"/>
            <w:tcMar>
              <w:top w:type="dxa" w:w="80"/>
              <w:left w:type="dxa" w:w="140"/>
              <w:bottom w:type="dxa" w:w="80"/>
              <w:right w:type="dxa" w:w="140"/>
            </w:tcMar>
          </w:tcPr>
          <w:p>
            <w:r>
              <w:rPr>
                <w:rFonts w:ascii="Arial" w:cs="Arial" w:eastAsia="Arial" w:hAnsi="Arial"/>
                <w:b/>
                <w:bCs/>
                <w:color w:val="333333"/>
                <w:sz w:val="19"/>
                <w:szCs w:val="19"/>
              </w:rPr>
              <w:t xml:space="preserve">&gt; 50% até Dez/2026 (vs. baseline a estabelecer na Fase 0)</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Gerar adoção pelo Build</w:t>
            </w:r>
          </w:p>
        </w:tc>
        <w:tc>
          <w:tcPr>
            <w:tcW w:type="dxa" w:w="34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 das reuniões de acionamento para modernização que utilizam o score como insumo</w:t>
            </w:r>
          </w:p>
        </w:tc>
        <w:tc>
          <w:tcPr>
            <w:tcW w:type="dxa" w:w="28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333333"/>
                <w:sz w:val="19"/>
                <w:szCs w:val="19"/>
              </w:rPr>
              <w:t xml:space="preserve">&gt; 80% das reuniões documentando uso do RessonâncIA</w:t>
            </w:r>
          </w:p>
        </w:tc>
      </w:tr>
      <w:tr>
        <w:tc>
          <w:tcPr>
            <w:tcW w:type="dxa" w:w="3000"/>
            <w:tcBorders>
              <w:top w:val="single" w:color="D0D0D0" w:sz="1"/>
              <w:left w:val="single" w:color="D0D0D0" w:sz="1"/>
              <w:bottom w:val="single" w:color="D0D0D0" w:sz="1"/>
              <w:right w:val="single" w:color="D0D0D0" w:sz="1"/>
            </w:tcBorders>
            <w:shd w:fill="FDE8D0" w:val="clear"/>
            <w:tcMar>
              <w:top w:type="dxa" w:w="80"/>
              <w:left w:type="dxa" w:w="140"/>
              <w:bottom w:type="dxa" w:w="80"/>
              <w:right w:type="dxa" w:w="140"/>
            </w:tcMar>
          </w:tcPr>
          <w:p>
            <w:r>
              <w:rPr>
                <w:rFonts w:ascii="Arial" w:cs="Arial" w:eastAsia="Arial" w:hAnsi="Arial"/>
                <w:b w:val="false"/>
                <w:bCs w:val="false"/>
                <w:color w:val="333333"/>
                <w:sz w:val="19"/>
                <w:szCs w:val="19"/>
              </w:rPr>
              <w:t xml:space="preserve">Reduzir leadtime de modernização contábil</w:t>
            </w:r>
          </w:p>
        </w:tc>
        <w:tc>
          <w:tcPr>
            <w:tcW w:type="dxa" w:w="3480"/>
            <w:tcBorders>
              <w:top w:val="single" w:color="D0D0D0" w:sz="1"/>
              <w:left w:val="single" w:color="D0D0D0" w:sz="1"/>
              <w:bottom w:val="single" w:color="D0D0D0" w:sz="1"/>
              <w:right w:val="single" w:color="D0D0D0" w:sz="1"/>
            </w:tcBorders>
            <w:shd w:fill="FDE8D0" w:val="clear"/>
            <w:tcMar>
              <w:top w:type="dxa" w:w="80"/>
              <w:left w:type="dxa" w:w="140"/>
              <w:bottom w:type="dxa" w:w="80"/>
              <w:right w:type="dxa" w:w="140"/>
            </w:tcMar>
          </w:tcPr>
          <w:p>
            <w:r>
              <w:rPr>
                <w:rFonts w:ascii="Arial" w:cs="Arial" w:eastAsia="Arial" w:hAnsi="Arial"/>
                <w:b w:val="false"/>
                <w:bCs w:val="false"/>
                <w:color w:val="333333"/>
                <w:sz w:val="19"/>
                <w:szCs w:val="19"/>
              </w:rPr>
              <w:t xml:space="preserve">Tempo médio entre acionamento do Build e resolução de GAPs contábeis identificados pelo RessonâncIA</w:t>
            </w:r>
          </w:p>
        </w:tc>
        <w:tc>
          <w:tcPr>
            <w:tcW w:type="dxa" w:w="2880"/>
            <w:tcBorders>
              <w:top w:val="single" w:color="D0D0D0" w:sz="1"/>
              <w:left w:val="single" w:color="D0D0D0" w:sz="1"/>
              <w:bottom w:val="single" w:color="D0D0D0" w:sz="1"/>
              <w:right w:val="single" w:color="D0D0D0" w:sz="1"/>
            </w:tcBorders>
            <w:shd w:fill="FDE8D0" w:val="clear"/>
            <w:tcMar>
              <w:top w:type="dxa" w:w="80"/>
              <w:left w:type="dxa" w:w="140"/>
              <w:bottom w:type="dxa" w:w="80"/>
              <w:right w:type="dxa" w:w="140"/>
            </w:tcMar>
          </w:tcPr>
          <w:p>
            <w:r>
              <w:rPr>
                <w:rFonts w:ascii="Arial" w:cs="Arial" w:eastAsia="Arial" w:hAnsi="Arial"/>
                <w:b/>
                <w:bCs/>
                <w:color w:val="333333"/>
                <w:sz w:val="19"/>
                <w:szCs w:val="19"/>
              </w:rPr>
              <w:t xml:space="preserve">Redução de 30% vs. baseline (sem o produto, discovery dos GAPs é feito durante o projeto)</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Garantir qualidade da modernização AWS</w:t>
            </w:r>
          </w:p>
        </w:tc>
        <w:tc>
          <w:tcPr>
            <w:tcW w:type="dxa" w:w="34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 de contas migradas com score pós-migração superior ao score pré-migração</w:t>
            </w:r>
          </w:p>
        </w:tc>
        <w:tc>
          <w:tcPr>
            <w:tcW w:type="dxa" w:w="28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333333"/>
                <w:sz w:val="19"/>
                <w:szCs w:val="19"/>
              </w:rPr>
              <w:t xml:space="preserve">&gt; 90% das contas migradas com melhora no score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C7000" w:val="clear"/>
            <w:tcMar>
              <w:top w:type="dxa" w:w="0"/>
              <w:left w:type="dxa" w:w="0"/>
              <w:bottom w:type="dxa" w:w="0"/>
              <w:right w:type="dxa" w:w="0"/>
            </w:tcMar>
          </w:tcPr>
          <w:p>
            <w:r>
              <w:t xml:space="preserve"/>
            </w:r>
          </w:p>
        </w:tc>
        <w:tc>
          <w:tcPr>
            <w:tcW w:type="dxa" w:w="8880"/>
            <w:tcBorders>
              <w:top w:val="none" w:color="FFFFFF" w:sz="0"/>
              <w:left w:val="none" w:color="FFFFFF" w:sz="0"/>
              <w:bottom w:val="none" w:color="FFFFFF" w:sz="0"/>
              <w:right w:val="none" w:color="FFFFFF" w:sz="0"/>
            </w:tcBorders>
            <w:shd w:fill="003087" w:val="clear"/>
            <w:tcMar>
              <w:top w:type="dxa" w:w="140"/>
              <w:left w:type="dxa" w:w="280"/>
              <w:bottom w:type="dxa" w:w="140"/>
              <w:right w:type="dxa" w:w="280"/>
            </w:tcMar>
          </w:tcPr>
          <w:p>
            <w:r>
              <w:rPr>
                <w:rFonts w:ascii="Arial" w:cs="Arial" w:eastAsia="Arial" w:hAnsi="Arial"/>
                <w:b/>
                <w:bCs/>
                <w:caps/>
                <w:color w:val="FFFFFF"/>
                <w:sz w:val="28"/>
                <w:szCs w:val="28"/>
              </w:rPr>
              <w:t xml:space="preserve">10. Riscos e Estratégias de Mitigação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5260"/>
      </w:tblGrid>
      <w:tr>
        <w:trPr>
          <w:tblHeader/>
        </w:trPr>
        <w:tc>
          <w:tcPr>
            <w:tcW w:type="dxa" w:w="2900"/>
            <w:tcBorders>
              <w:top w:val="single" w:color="EC7000" w:sz="1"/>
              <w:left w:val="single" w:color="EC7000" w:sz="1"/>
              <w:bottom w:val="single" w:color="EC7000" w:sz="1"/>
              <w:right w:val="single" w:color="EC7000"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Risco</w:t>
            </w:r>
          </w:p>
        </w:tc>
        <w:tc>
          <w:tcPr>
            <w:tcW w:type="dxa" w:w="1200"/>
            <w:tcBorders>
              <w:top w:val="single" w:color="EC7000" w:sz="1"/>
              <w:left w:val="single" w:color="EC7000" w:sz="1"/>
              <w:bottom w:val="single" w:color="EC7000" w:sz="1"/>
              <w:right w:val="single" w:color="EC7000"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Impacto</w:t>
            </w:r>
          </w:p>
        </w:tc>
        <w:tc>
          <w:tcPr>
            <w:tcW w:type="dxa" w:w="5260"/>
            <w:tcBorders>
              <w:top w:val="single" w:color="EC7000" w:sz="1"/>
              <w:left w:val="single" w:color="EC7000" w:sz="1"/>
              <w:bottom w:val="single" w:color="EC7000" w:sz="1"/>
              <w:right w:val="single" w:color="EC7000"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Mitigação</w:t>
            </w:r>
          </w:p>
        </w:tc>
      </w:tr>
      <w:tr>
        <w:tc>
          <w:tcPr>
            <w:tcW w:type="dxa" w:w="2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Dados dos sistemas legados (BG, PO/P6) com qualidade ou disponibilidade insuficiente</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C62828"/>
                <w:sz w:val="19"/>
                <w:szCs w:val="19"/>
              </w:rPr>
              <w:t xml:space="preserve">Alto</w:t>
            </w:r>
          </w:p>
        </w:tc>
        <w:tc>
          <w:tcPr>
            <w:tcW w:type="dxa" w:w="5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Data profiling como primeiro entregável da Fase 0; definição de qualidade mínima aceitável antes de iniciar o modelo; acordo de SLA com donos dos sistemas.</w:t>
            </w:r>
          </w:p>
        </w:tc>
      </w:tr>
      <w:tr>
        <w:tc>
          <w:tcPr>
            <w:tcW w:type="dxa" w:w="29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Pesos do modelo contestados pelos SMEs contábeis</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C55A11"/>
                <w:sz w:val="19"/>
                <w:szCs w:val="19"/>
              </w:rPr>
              <w:t xml:space="preserve">Médio</w:t>
            </w:r>
          </w:p>
        </w:tc>
        <w:tc>
          <w:tcPr>
            <w:tcW w:type="dxa" w:w="52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Codesign do modelo com os SMEs desde o início; pesos explicitamente documentados e revisáveis; processo formal de calibração semestral.</w:t>
            </w:r>
          </w:p>
        </w:tc>
      </w:tr>
      <w:tr>
        <w:tc>
          <w:tcPr>
            <w:tcW w:type="dxa" w:w="2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Resistência dos produtos em aceitar o diagnóstico como legítimo</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C62828"/>
                <w:sz w:val="19"/>
                <w:szCs w:val="19"/>
              </w:rPr>
              <w:t xml:space="preserve">Alto</w:t>
            </w:r>
          </w:p>
        </w:tc>
        <w:tc>
          <w:tcPr>
            <w:tcW w:type="dxa" w:w="5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Transparência total na metodologia; apresentação dos dados brutos junto ao score; envolvimento dos produtos na validação do modelo na Fase 0.</w:t>
            </w:r>
          </w:p>
        </w:tc>
      </w:tr>
      <w:tr>
        <w:tc>
          <w:tcPr>
            <w:tcW w:type="dxa" w:w="29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Scope creep: pressão para incluir funcionalidades de conciliação, regularização ou roteirização</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C55A11"/>
                <w:sz w:val="19"/>
                <w:szCs w:val="19"/>
              </w:rPr>
              <w:t xml:space="preserve">Médio</w:t>
            </w:r>
          </w:p>
        </w:tc>
        <w:tc>
          <w:tcPr>
            <w:tcW w:type="dxa" w:w="52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Product Vision Document como âncora; backlog com critérios explícitos de aceite alinhados à visão; revisão de escopo com stakeholders a cada fase.</w:t>
            </w:r>
          </w:p>
        </w:tc>
      </w:tr>
      <w:tr>
        <w:tc>
          <w:tcPr>
            <w:tcW w:type="dxa" w:w="2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Dependência de engenharia de dados para o pipeline de ingestão</w:t>
            </w:r>
          </w:p>
        </w:tc>
        <w:tc>
          <w:tcPr>
            <w:tcW w:type="dxa" w:w="1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C55A11"/>
                <w:sz w:val="19"/>
                <w:szCs w:val="19"/>
              </w:rPr>
              <w:t xml:space="preserve">Médio</w:t>
            </w:r>
          </w:p>
        </w:tc>
        <w:tc>
          <w:tcPr>
            <w:tcW w:type="dxa" w:w="5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Parceria formalizada com o time de dados desde a Fase 0; inclusão no roadmap oficial do squad de dados; protótipo da Fase 1 com conjunto mínimo de fontes.</w:t>
            </w:r>
          </w:p>
        </w:tc>
      </w:tr>
      <w:tr>
        <w:tc>
          <w:tcPr>
            <w:tcW w:type="dxa" w:w="29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GAPs encontrados não serem priorizados pelos produtos durante a modernização</w:t>
            </w:r>
          </w:p>
        </w:tc>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color w:val="C62828"/>
                <w:sz w:val="19"/>
                <w:szCs w:val="19"/>
              </w:rPr>
              <w:t xml:space="preserve">Alto</w:t>
            </w:r>
          </w:p>
        </w:tc>
        <w:tc>
          <w:tcPr>
            <w:tcW w:type="dxa" w:w="52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Integração do score como critério oficial nos ritos de acionamento do programa de modernização; patrocínio da gerência para tornar o uso obrigatório.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C7000" w:val="clear"/>
            <w:tcMar>
              <w:top w:type="dxa" w:w="0"/>
              <w:left w:type="dxa" w:w="0"/>
              <w:bottom w:type="dxa" w:w="0"/>
              <w:right w:type="dxa" w:w="0"/>
            </w:tcMar>
          </w:tcPr>
          <w:p>
            <w:r>
              <w:t xml:space="preserve"/>
            </w:r>
          </w:p>
        </w:tc>
        <w:tc>
          <w:tcPr>
            <w:tcW w:type="dxa" w:w="8880"/>
            <w:tcBorders>
              <w:top w:val="none" w:color="FFFFFF" w:sz="0"/>
              <w:left w:val="none" w:color="FFFFFF" w:sz="0"/>
              <w:bottom w:val="none" w:color="FFFFFF" w:sz="0"/>
              <w:right w:val="none" w:color="FFFFFF" w:sz="0"/>
            </w:tcBorders>
            <w:shd w:fill="003087" w:val="clear"/>
            <w:tcMar>
              <w:top w:type="dxa" w:w="140"/>
              <w:left w:type="dxa" w:w="280"/>
              <w:bottom w:type="dxa" w:w="140"/>
              <w:right w:type="dxa" w:w="280"/>
            </w:tcMar>
          </w:tcPr>
          <w:p>
            <w:r>
              <w:rPr>
                <w:rFonts w:ascii="Arial" w:cs="Arial" w:eastAsia="Arial" w:hAnsi="Arial"/>
                <w:b/>
                <w:bCs/>
                <w:caps/>
                <w:color w:val="FFFFFF"/>
                <w:sz w:val="28"/>
                <w:szCs w:val="28"/>
              </w:rPr>
              <w:t xml:space="preserve">11. Próximos Passos</w:t>
            </w:r>
          </w:p>
        </w:tc>
      </w:tr>
    </w:tbl>
    <w:p>
      <w:pPr>
        <w:spacing w:after="0" w:before="120"/>
      </w:pPr>
      <w:r>
        <w:t xml:space="preserve"/>
      </w:r>
    </w:p>
    <w:p>
      <w:pPr>
        <w:spacing w:after="120" w:before="60"/>
        <w:jc w:val="both"/>
      </w:pPr>
      <w:r>
        <w:rPr>
          <w:rFonts w:ascii="Arial" w:cs="Arial" w:eastAsia="Arial" w:hAnsi="Arial"/>
          <w:b w:val="false"/>
          <w:bCs w:val="false"/>
          <w:i w:val="false"/>
          <w:iCs w:val="false"/>
          <w:color w:val="333333"/>
          <w:sz w:val="22"/>
          <w:szCs w:val="22"/>
        </w:rPr>
        <w:t xml:space="preserve">Com a visão do produto estabelecida, as ações imediatas para dar sequência à iniciativa são:</w:t>
      </w:r>
    </w:p>
    <w:p>
      <w:pPr>
        <w:spacing w:after="0" w:before="80"/>
      </w:pPr>
      <w:r>
        <w:t xml:space="preserve"/>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Validação desta visão com stakeholders</w:t>
      </w:r>
      <w:r>
        <w:rPr>
          <w:rFonts w:ascii="Arial" w:cs="Arial" w:eastAsia="Arial" w:hAnsi="Arial"/>
          <w:i/>
          <w:iCs/>
          <w:color w:val="666666"/>
          <w:sz w:val="20"/>
          <w:szCs w:val="20"/>
        </w:rPr>
        <w:t xml:space="preserve">  — Sessão de alinhamento com gerência de contabilidade, time de Build, auditoria interna e programa de modernização para obter endorsement formal e identificar ajustes críticos.</w:t>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Prototipação visual do dashboard</w:t>
      </w:r>
      <w:r>
        <w:rPr>
          <w:rFonts w:ascii="Arial" w:cs="Arial" w:eastAsia="Arial" w:hAnsi="Arial"/>
          <w:i/>
          <w:iCs/>
          <w:color w:val="666666"/>
          <w:sz w:val="20"/>
          <w:szCs w:val="20"/>
        </w:rPr>
        <w:t xml:space="preserve">  — Desenvolvimento de protótipo navegável (Figma ou equivalente) do dashboard de portfólio e da ficha diagnóstica, para validação com o time de Build antes de qualquer desenvolvimento. Este é o próximo marco tangível.</w:t>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Formação do grupo de trabalho para a Fase 0</w:t>
      </w:r>
      <w:r>
        <w:rPr>
          <w:rFonts w:ascii="Arial" w:cs="Arial" w:eastAsia="Arial" w:hAnsi="Arial"/>
          <w:i/>
          <w:iCs/>
          <w:color w:val="666666"/>
          <w:sz w:val="20"/>
          <w:szCs w:val="20"/>
        </w:rPr>
        <w:t xml:space="preserve">  — Selecionar SMEs contábeis para codesign do modelo de scoring, representantes dos times de dados e engenharia, e um sponsor do programa de modernização AWS.</w:t>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Data profiling dos sistemas fonte</w:t>
      </w:r>
      <w:r>
        <w:rPr>
          <w:rFonts w:ascii="Arial" w:cs="Arial" w:eastAsia="Arial" w:hAnsi="Arial"/>
          <w:i/>
          <w:iCs/>
          <w:color w:val="666666"/>
          <w:sz w:val="20"/>
          <w:szCs w:val="20"/>
        </w:rPr>
        <w:t xml:space="preserve">  — Avaliação da qualidade e disponibilidade dos dados em BG, PO/P6, DW6, BG+ e PO+, identificando GAPs de acesso e acordando SLAs com os donos dos sistemas.</w:t>
      </w:r>
    </w:p>
    <w:p>
      <w:pPr>
        <w:spacing w:after="60" w:before="60"/>
        <w:ind w:left="360"/>
      </w:pPr>
      <w:r>
        <w:rPr>
          <w:rFonts w:ascii="Arial" w:cs="Arial" w:eastAsia="Arial" w:hAnsi="Arial"/>
          <w:b/>
          <w:bCs/>
          <w:color w:val="EC7000"/>
          <w:sz w:val="22"/>
          <w:szCs w:val="22"/>
        </w:rPr>
        <w:t xml:space="preserve">● </w:t>
      </w:r>
      <w:r>
        <w:rPr>
          <w:rFonts w:ascii="Arial" w:cs="Arial" w:eastAsia="Arial" w:hAnsi="Arial"/>
          <w:b w:val="false"/>
          <w:bCs w:val="false"/>
          <w:color w:val="333333"/>
          <w:sz w:val="22"/>
          <w:szCs w:val="22"/>
        </w:rPr>
        <w:t xml:space="preserve">Definição do piloto</w:t>
      </w:r>
      <w:r>
        <w:rPr>
          <w:rFonts w:ascii="Arial" w:cs="Arial" w:eastAsia="Arial" w:hAnsi="Arial"/>
          <w:i/>
          <w:iCs/>
          <w:color w:val="666666"/>
          <w:sz w:val="20"/>
          <w:szCs w:val="20"/>
        </w:rPr>
        <w:t xml:space="preserve">  — Selecionar conjunto inicial de contas representativas — priorizando diversidade de sistemas (legados e modernizados) e diferentes graus de maturidade — para validar o modelo de scoring na Fase 1.</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C7000"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FDE8D0" w:val="clear"/>
            <w:tcMar>
              <w:top w:type="dxa" w:w="140"/>
              <w:left w:type="dxa" w:w="240"/>
              <w:bottom w:type="dxa" w:w="140"/>
              <w:right w:type="dxa" w:w="240"/>
            </w:tcMar>
          </w:tcPr>
          <w:p>
            <w:pPr>
              <w:spacing w:after="60" w:before="0"/>
            </w:pPr>
            <w:r>
              <w:rPr>
                <w:rFonts w:ascii="Arial" w:cs="Arial" w:eastAsia="Arial" w:hAnsi="Arial"/>
                <w:b/>
                <w:bCs/>
                <w:caps/>
                <w:color w:val="EC7000"/>
                <w:sz w:val="20"/>
                <w:szCs w:val="20"/>
              </w:rPr>
              <w:t xml:space="preserve">Próximo Marco</w:t>
            </w:r>
          </w:p>
          <w:p>
            <w:pPr>
              <w:spacing w:after="0" w:before="0"/>
              <w:jc w:val="both"/>
            </w:pPr>
            <w:r>
              <w:rPr>
                <w:rFonts w:ascii="Arial" w:cs="Arial" w:eastAsia="Arial" w:hAnsi="Arial"/>
                <w:i/>
                <w:iCs/>
                <w:color w:val="333333"/>
                <w:sz w:val="22"/>
                <w:szCs w:val="22"/>
              </w:rPr>
              <w:t xml:space="preserve">A prototipação visual do dashboard é o passo que transforma este documento em algo tangível e navegável. Um protótipo bem construído acelera o alinhamento com stakeholders, valida hipóteses de UX com o time de Build antes do desenvolvimento, e serve como âncora visual para as próximas conversas de priorização e investimento.</w:t>
            </w:r>
          </w:p>
        </w:tc>
      </w:tr>
    </w:tbl>
    <w:p>
      <w:pPr>
        <w:spacing w:after="0" w:before="160"/>
      </w:pPr>
      <w:r>
        <w:t xml:space="preserve"/>
      </w:r>
    </w:p>
    <w:p>
      <w:pPr>
        <w:pBdr>
          <w:top w:val="single" w:color="EC7000" w:sz="6" w:space="4"/>
        </w:pBdr>
        <w:spacing w:after="0" w:before="360"/>
        <w:jc w:val="center"/>
      </w:pPr>
      <w:r>
        <w:rPr>
          <w:rFonts w:ascii="Arial" w:cs="Arial" w:eastAsia="Arial" w:hAnsi="Arial"/>
          <w:i/>
          <w:iCs/>
          <w:color w:val="888888"/>
          <w:sz w:val="18"/>
          <w:szCs w:val="18"/>
        </w:rPr>
        <w:t xml:space="preserve">RessonâncIA  |  Product Vision Document v1.0  |  Confidencial — uso interno  |  Itaú Unibanco  |  Maio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03087"/>
      <w:sz w:val="32"/>
      <w:szCs w:val="32"/>
    </w:rPr>
  </w:style>
  <w:style w:type="paragraph" w:styleId="Heading2">
    <w:name w:val="Heading 2"/>
    <w:basedOn w:val="Normal"/>
    <w:next w:val="Normal"/>
    <w:qFormat/>
    <w:pPr>
      <w:spacing w:after="80" w:before="240"/>
      <w:outlineLvl w:val="1"/>
    </w:pPr>
    <w:rPr>
      <w:rFonts w:ascii="Arial" w:cs="Arial" w:eastAsia="Arial" w:hAnsi="Arial"/>
      <w:b/>
      <w:bCs/>
      <w:color w:val="EC7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2026-05-14T02:07:34.698Z</dcterms:created>
  <dcterms:modified xsi:type="dcterms:W3CDTF">2026-05-14T02:07:34.715Z</dcterms:modified>
</cp:coreProperties>
</file>

<file path=docProps/custom.xml><?xml version="1.0" encoding="utf-8"?>
<Properties xmlns="http://schemas.openxmlformats.org/officeDocument/2006/custom-properties" xmlns:vt="http://schemas.openxmlformats.org/officeDocument/2006/docPropsVTypes"/>
</file>