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7E7" w:rsidRPr="00DA7F62" w:rsidRDefault="006F07E7" w:rsidP="006F07E7">
      <w:pPr>
        <w:spacing w:before="200" w:after="200"/>
        <w:rPr>
          <w:rFonts w:ascii="Times New Roman" w:eastAsia="Times New Roman" w:hAnsi="Times New Roman" w:cs="Times New Roman"/>
        </w:rPr>
      </w:pPr>
      <w:r w:rsidRPr="00DA7F62">
        <w:rPr>
          <w:rFonts w:ascii="Times New Roman" w:eastAsia="Times New Roman" w:hAnsi="Times New Roman" w:cs="Times New Roman"/>
        </w:rPr>
        <w:t xml:space="preserve">Diverse migratory portfolios drive inter-annual switching behavior of elk </w:t>
      </w:r>
      <w:r>
        <w:rPr>
          <w:rFonts w:ascii="Times New Roman" w:eastAsia="Times New Roman" w:hAnsi="Times New Roman" w:cs="Times New Roman"/>
        </w:rPr>
        <w:t>across</w:t>
      </w:r>
      <w:r w:rsidRPr="00DA7F62">
        <w:rPr>
          <w:rFonts w:ascii="Times New Roman" w:eastAsia="Times New Roman" w:hAnsi="Times New Roman" w:cs="Times New Roman"/>
        </w:rPr>
        <w:t xml:space="preserve"> the Greater Yellowstone Ecosystem</w:t>
      </w:r>
    </w:p>
    <w:p w:rsidR="006F07E7" w:rsidRPr="00767EBF" w:rsidRDefault="006F07E7" w:rsidP="006F07E7">
      <w:pPr>
        <w:rPr>
          <w:rFonts w:ascii="Times New Roman" w:eastAsia="Times New Roman" w:hAnsi="Times New Roman" w:cs="Times New Roman"/>
          <w:color w:val="000000" w:themeColor="text1"/>
          <w:vertAlign w:val="superscript"/>
        </w:rPr>
      </w:pPr>
      <w:r w:rsidRPr="00E1073B">
        <w:rPr>
          <w:rFonts w:ascii="Times New Roman" w:eastAsia="Times New Roman" w:hAnsi="Times New Roman" w:cs="Times New Roman"/>
          <w:color w:val="000000" w:themeColor="text1"/>
        </w:rPr>
        <w:t>Gabriel R. Zuckerman, Kristin J. Barker, Laura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C.</w:t>
      </w:r>
      <w:r w:rsidRPr="00E1073B">
        <w:rPr>
          <w:rFonts w:ascii="Times New Roman" w:eastAsia="Times New Roman" w:hAnsi="Times New Roman" w:cs="Times New Roman"/>
          <w:color w:val="000000" w:themeColor="text1"/>
        </w:rPr>
        <w:t xml:space="preserve"> Gigliotti, 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Eric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K. </w:t>
      </w:r>
      <w:r w:rsidRPr="00D8695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Cole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Justin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Gude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Mark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A.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Hurley, Matt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hew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J. 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Kauffman, Daryl Lutz, Dan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iel R.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MacNulty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 Eric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J.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Maichak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,</w:t>
      </w:r>
      <w:r w:rsidRPr="00D8695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Doug McWhirter, Tony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Mong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Kelly Proffitt, Brandon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M.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Scurlock, Dan</w:t>
      </w:r>
      <w:r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iel R.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Stahler</w:t>
      </w:r>
      <w:proofErr w:type="spellEnd"/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</w:t>
      </w:r>
      <w:r w:rsidRPr="00D86959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Ben</w:t>
      </w:r>
      <w:r w:rsidRPr="00E1073B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Wise, </w:t>
      </w:r>
      <w:r w:rsidRPr="00E1073B">
        <w:rPr>
          <w:rFonts w:ascii="Times New Roman" w:eastAsia="Times New Roman" w:hAnsi="Times New Roman" w:cs="Times New Roman"/>
          <w:color w:val="000000" w:themeColor="text1"/>
        </w:rPr>
        <w:t>and Arthur D. Middleton</w:t>
      </w:r>
    </w:p>
    <w:p w:rsidR="006F07E7" w:rsidRDefault="006F07E7" w:rsidP="006F07E7">
      <w:pPr>
        <w:spacing w:before="240" w:after="24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Ecosphere</w:t>
      </w:r>
    </w:p>
    <w:p w:rsidR="002C677D" w:rsidRDefault="006F07E7" w:rsidP="006F07E7">
      <w:pPr>
        <w:spacing w:before="240" w:after="240"/>
        <w:rPr>
          <w:rFonts w:ascii="Times New Roman" w:eastAsia="Times New Roman" w:hAnsi="Times New Roman" w:cs="Times New Roman"/>
          <w:b/>
          <w:bCs/>
          <w:iCs/>
        </w:rPr>
      </w:pPr>
      <w:r w:rsidRPr="003247A6">
        <w:rPr>
          <w:rFonts w:ascii="Times New Roman" w:eastAsia="Times New Roman" w:hAnsi="Times New Roman" w:cs="Times New Roman"/>
          <w:b/>
          <w:bCs/>
          <w:iCs/>
        </w:rPr>
        <w:t>Appendix S</w:t>
      </w:r>
      <w:r w:rsidR="002D3223">
        <w:rPr>
          <w:rFonts w:ascii="Times New Roman" w:eastAsia="Times New Roman" w:hAnsi="Times New Roman" w:cs="Times New Roman"/>
          <w:b/>
          <w:bCs/>
          <w:iCs/>
        </w:rPr>
        <w:t>3</w:t>
      </w:r>
    </w:p>
    <w:p w:rsidR="002C677D" w:rsidRDefault="002C677D">
      <w:pPr>
        <w:rPr>
          <w:rFonts w:ascii="Times New Roman" w:eastAsia="Times New Roman" w:hAnsi="Times New Roman" w:cs="Times New Roman"/>
          <w:b/>
          <w:bCs/>
          <w:iCs/>
        </w:rPr>
      </w:pPr>
      <w:r>
        <w:rPr>
          <w:rFonts w:ascii="Times New Roman" w:eastAsia="Times New Roman" w:hAnsi="Times New Roman" w:cs="Times New Roman"/>
          <w:b/>
          <w:bCs/>
          <w:iCs/>
        </w:rPr>
        <w:br w:type="page"/>
      </w:r>
    </w:p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tbl>
      <w:tblPr>
        <w:tblW w:w="129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22"/>
        <w:gridCol w:w="810"/>
        <w:gridCol w:w="1126"/>
        <w:gridCol w:w="1115"/>
        <w:gridCol w:w="932"/>
        <w:gridCol w:w="1032"/>
        <w:gridCol w:w="850"/>
        <w:gridCol w:w="826"/>
        <w:gridCol w:w="376"/>
        <w:gridCol w:w="928"/>
        <w:gridCol w:w="818"/>
        <w:gridCol w:w="835"/>
        <w:gridCol w:w="1015"/>
        <w:gridCol w:w="841"/>
      </w:tblGrid>
      <w:tr w:rsidR="006F07E7" w:rsidTr="00F0602A">
        <w:trPr>
          <w:trHeight w:val="2375"/>
        </w:trPr>
        <w:tc>
          <w:tcPr>
            <w:tcW w:w="142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 xml:space="preserve"> </w:t>
            </w:r>
          </w:p>
        </w:tc>
        <w:tc>
          <w:tcPr>
            <w:tcW w:w="81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Int.</w:t>
            </w:r>
          </w:p>
        </w:tc>
        <w:tc>
          <w:tcPr>
            <w:tcW w:w="1126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Win. range prop.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dev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div.</w:t>
            </w:r>
          </w:p>
        </w:tc>
        <w:tc>
          <w:tcPr>
            <w:tcW w:w="111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div.</w:t>
            </w:r>
          </w:p>
        </w:tc>
        <w:tc>
          <w:tcPr>
            <w:tcW w:w="93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Win. range prop. dev</w:t>
            </w:r>
          </w:p>
        </w:tc>
        <w:tc>
          <w:tcPr>
            <w:tcW w:w="103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range prop. dev</w:t>
            </w:r>
          </w:p>
        </w:tc>
        <w:tc>
          <w:tcPr>
            <w:tcW w:w="85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F.g.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access</w:t>
            </w:r>
          </w:p>
        </w:tc>
        <w:tc>
          <w:tcPr>
            <w:tcW w:w="826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Mean days-from-peak green-up</w:t>
            </w:r>
          </w:p>
        </w:tc>
        <w:tc>
          <w:tcPr>
            <w:tcW w:w="376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</w:t>
            </w:r>
          </w:p>
        </w:tc>
        <w:tc>
          <w:tcPr>
            <w:tcW w:w="928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logLik</w:t>
            </w:r>
            <w:proofErr w:type="spellEnd"/>
          </w:p>
        </w:tc>
        <w:tc>
          <w:tcPr>
            <w:tcW w:w="818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</w:p>
        </w:tc>
        <w:tc>
          <w:tcPr>
            <w:tcW w:w="83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Delta</w:t>
            </w:r>
          </w:p>
        </w:tc>
        <w:tc>
          <w:tcPr>
            <w:tcW w:w="101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Weight</w:t>
            </w:r>
          </w:p>
        </w:tc>
        <w:tc>
          <w:tcPr>
            <w:tcW w:w="841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MCC</w:t>
            </w:r>
          </w:p>
        </w:tc>
      </w:tr>
      <w:tr w:rsidR="006F07E7" w:rsidTr="00F0602A">
        <w:trPr>
          <w:trHeight w:val="755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Top-ranked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-0.55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A8B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3.13*</w:t>
            </w:r>
            <w:r w:rsidR="00C1682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9743AF" w:rsidRDefault="00C16823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C16823">
              <w:rPr>
                <w:rFonts w:ascii="Times New Roman" w:eastAsia="Times New Roman" w:hAnsi="Times New Roman" w:cs="Times New Roman"/>
                <w:b/>
              </w:rPr>
              <w:t>-5.72</w:t>
            </w:r>
            <w:r w:rsidR="00537FEE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,</w:t>
            </w:r>
            <w:r w:rsidRPr="00C16823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6F07E7" w:rsidRDefault="00C16823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16823">
              <w:rPr>
                <w:rFonts w:ascii="Times New Roman" w:eastAsia="Times New Roman" w:hAnsi="Times New Roman" w:cs="Times New Roman"/>
                <w:b/>
              </w:rPr>
              <w:t>-1.302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7A8B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-0.56*</w:t>
            </w:r>
            <w:r w:rsidR="00A324EC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6F07E7" w:rsidRDefault="00A324EC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A324EC">
              <w:rPr>
                <w:rFonts w:ascii="Times New Roman" w:eastAsia="Times New Roman" w:hAnsi="Times New Roman" w:cs="Times New Roman"/>
                <w:b/>
              </w:rPr>
              <w:t>-1.002</w:t>
            </w:r>
            <w:r w:rsidR="00537FEE">
              <w:rPr>
                <w:rFonts w:ascii="Times New Roman" w:eastAsia="Times New Roman" w:hAnsi="Times New Roman" w:cs="Times New Roman"/>
                <w:b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</w:rPr>
              <w:t>,</w:t>
            </w:r>
            <w:r w:rsidRPr="00A324EC">
              <w:rPr>
                <w:rFonts w:ascii="Times New Roman" w:eastAsia="Times New Roman" w:hAnsi="Times New Roman" w:cs="Times New Roman"/>
                <w:b/>
              </w:rPr>
              <w:t xml:space="preserve"> -0.142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-3.31*</w:t>
            </w:r>
            <w:r w:rsidR="00D00F64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D00F64" w:rsidRPr="00D00F64">
              <w:rPr>
                <w:rFonts w:ascii="Times New Roman" w:eastAsia="Times New Roman" w:hAnsi="Times New Roman" w:cs="Times New Roman"/>
                <w:b/>
              </w:rPr>
              <w:t>1.171</w:t>
            </w:r>
            <w:r w:rsidR="00BA7A8B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="00D00F64" w:rsidRPr="00D00F64">
              <w:rPr>
                <w:rFonts w:ascii="Times New Roman" w:eastAsia="Times New Roman" w:hAnsi="Times New Roman" w:cs="Times New Roman"/>
                <w:b/>
              </w:rPr>
              <w:t>5.45</w:t>
            </w:r>
            <w:r w:rsidR="00537FEE">
              <w:rPr>
                <w:rFonts w:ascii="Times New Roman" w:eastAsia="Times New Roman" w:hAnsi="Times New Roman" w:cs="Times New Roman"/>
                <w:b/>
              </w:rPr>
              <w:t>1</w:t>
            </w:r>
            <w:r w:rsidR="00D00F64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-68.42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145.23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0.15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0.21</w:t>
            </w:r>
          </w:p>
        </w:tc>
      </w:tr>
      <w:tr w:rsidR="006F07E7" w:rsidTr="00F0602A">
        <w:trPr>
          <w:trHeight w:val="485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Null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-0.49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-71.70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145.44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0.21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  <w:tr w:rsidR="006F07E7" w:rsidTr="00F0602A">
        <w:trPr>
          <w:trHeight w:val="485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Model2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-0.50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-0.17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-71.37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146.85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1.62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0.07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  <w:tr w:rsidR="006F07E7" w:rsidTr="00F0602A">
        <w:trPr>
          <w:trHeight w:val="485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Model5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-0.49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-0.16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-71.38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146.88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1.65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0.07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  <w:tr w:rsidR="006F07E7" w:rsidTr="00F0602A">
        <w:trPr>
          <w:trHeight w:val="740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 3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-0.49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0.15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-71.43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146.97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1.74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0.06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0.12</w:t>
            </w:r>
          </w:p>
        </w:tc>
      </w:tr>
      <w:tr w:rsidR="006F07E7" w:rsidTr="00F0602A">
        <w:trPr>
          <w:trHeight w:val="740"/>
        </w:trPr>
        <w:tc>
          <w:tcPr>
            <w:tcW w:w="1422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 4</w:t>
            </w:r>
          </w:p>
        </w:tc>
        <w:tc>
          <w:tcPr>
            <w:tcW w:w="81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-0.49</w:t>
            </w:r>
          </w:p>
        </w:tc>
        <w:tc>
          <w:tcPr>
            <w:tcW w:w="11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1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3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5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-0.12</w:t>
            </w:r>
          </w:p>
        </w:tc>
        <w:tc>
          <w:tcPr>
            <w:tcW w:w="82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376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92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-71.53</w:t>
            </w:r>
          </w:p>
        </w:tc>
        <w:tc>
          <w:tcPr>
            <w:tcW w:w="81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147.18</w:t>
            </w:r>
          </w:p>
        </w:tc>
        <w:tc>
          <w:tcPr>
            <w:tcW w:w="83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1.95</w:t>
            </w:r>
          </w:p>
        </w:tc>
        <w:tc>
          <w:tcPr>
            <w:tcW w:w="101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0.06</w:t>
            </w:r>
          </w:p>
        </w:tc>
        <w:tc>
          <w:tcPr>
            <w:tcW w:w="841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</w:tbl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F07E7" w:rsidRDefault="002C677D" w:rsidP="006F07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S1. </w:t>
      </w:r>
      <w:r w:rsidR="006F07E7">
        <w:rPr>
          <w:rFonts w:ascii="Times New Roman" w:eastAsia="Times New Roman" w:hAnsi="Times New Roman" w:cs="Times New Roman"/>
        </w:rPr>
        <w:t xml:space="preserve">Model selection table of the six competitive models for switching from an elevational migrant tactic. * </w:t>
      </w:r>
      <w:proofErr w:type="gramStart"/>
      <w:r w:rsidR="006F07E7">
        <w:rPr>
          <w:rFonts w:ascii="Times New Roman" w:eastAsia="Times New Roman" w:hAnsi="Times New Roman" w:cs="Times New Roman"/>
        </w:rPr>
        <w:t>indicates</w:t>
      </w:r>
      <w:proofErr w:type="gramEnd"/>
      <w:r w:rsidR="006F07E7">
        <w:rPr>
          <w:rFonts w:ascii="Times New Roman" w:eastAsia="Times New Roman" w:hAnsi="Times New Roman" w:cs="Times New Roman"/>
        </w:rPr>
        <w:t xml:space="preserve"> informative covariates with 85% confidence intervals that do not overlap 0 (Arnold, 2010).</w:t>
      </w:r>
    </w:p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W w:w="1304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5"/>
        <w:gridCol w:w="791"/>
        <w:gridCol w:w="3250"/>
        <w:gridCol w:w="1295"/>
        <w:gridCol w:w="1337"/>
        <w:gridCol w:w="346"/>
        <w:gridCol w:w="947"/>
        <w:gridCol w:w="870"/>
        <w:gridCol w:w="824"/>
        <w:gridCol w:w="938"/>
        <w:gridCol w:w="1000"/>
      </w:tblGrid>
      <w:tr w:rsidR="006F07E7" w:rsidTr="00F0602A">
        <w:trPr>
          <w:trHeight w:val="2645"/>
        </w:trPr>
        <w:tc>
          <w:tcPr>
            <w:tcW w:w="144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lastRenderedPageBreak/>
              <w:t xml:space="preserve"> </w:t>
            </w:r>
          </w:p>
        </w:tc>
        <w:tc>
          <w:tcPr>
            <w:tcW w:w="791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Int.</w:t>
            </w:r>
          </w:p>
        </w:tc>
        <w:tc>
          <w:tcPr>
            <w:tcW w:w="325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range prop.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dev.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div.</w:t>
            </w:r>
          </w:p>
        </w:tc>
        <w:tc>
          <w:tcPr>
            <w:tcW w:w="129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div. </w:t>
            </w:r>
          </w:p>
        </w:tc>
        <w:tc>
          <w:tcPr>
            <w:tcW w:w="1337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range prop. dev.</w:t>
            </w:r>
          </w:p>
        </w:tc>
        <w:tc>
          <w:tcPr>
            <w:tcW w:w="346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</w:t>
            </w:r>
          </w:p>
        </w:tc>
        <w:tc>
          <w:tcPr>
            <w:tcW w:w="947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logLik</w:t>
            </w:r>
            <w:proofErr w:type="spellEnd"/>
          </w:p>
        </w:tc>
        <w:tc>
          <w:tcPr>
            <w:tcW w:w="87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</w:p>
        </w:tc>
        <w:tc>
          <w:tcPr>
            <w:tcW w:w="824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Delta</w:t>
            </w:r>
          </w:p>
        </w:tc>
        <w:tc>
          <w:tcPr>
            <w:tcW w:w="938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Weight</w:t>
            </w:r>
          </w:p>
        </w:tc>
        <w:tc>
          <w:tcPr>
            <w:tcW w:w="100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MCC</w:t>
            </w:r>
          </w:p>
        </w:tc>
      </w:tr>
      <w:tr w:rsidR="006F07E7" w:rsidTr="00F0602A">
        <w:trPr>
          <w:trHeight w:val="755"/>
        </w:trPr>
        <w:tc>
          <w:tcPr>
            <w:tcW w:w="1445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Top-ranked</w:t>
            </w:r>
          </w:p>
        </w:tc>
        <w:tc>
          <w:tcPr>
            <w:tcW w:w="791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-3.31</w:t>
            </w:r>
          </w:p>
        </w:tc>
        <w:tc>
          <w:tcPr>
            <w:tcW w:w="32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-3.48</w:t>
            </w:r>
          </w:p>
        </w:tc>
        <w:tc>
          <w:tcPr>
            <w:tcW w:w="129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574C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0.88*</w:t>
            </w:r>
            <w:r w:rsidR="0009026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090261" w:rsidRDefault="00090261" w:rsidP="00B6574C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090261">
              <w:rPr>
                <w:rFonts w:ascii="Times New Roman" w:eastAsia="Times New Roman" w:hAnsi="Times New Roman" w:cs="Times New Roman"/>
                <w:b/>
              </w:rPr>
              <w:t>0.53</w:t>
            </w: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5C4471">
              <w:rPr>
                <w:rFonts w:ascii="Times New Roman" w:eastAsia="Times New Roman" w:hAnsi="Times New Roman" w:cs="Times New Roman"/>
                <w:b/>
              </w:rPr>
              <w:t>,</w:t>
            </w:r>
            <w:r w:rsidRPr="00090261">
              <w:rPr>
                <w:rFonts w:ascii="Times New Roman" w:eastAsia="Times New Roman" w:hAnsi="Times New Roman" w:cs="Times New Roman"/>
                <w:b/>
              </w:rPr>
              <w:t xml:space="preserve"> 1.253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33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-0.73</w:t>
            </w:r>
          </w:p>
        </w:tc>
        <w:tc>
          <w:tcPr>
            <w:tcW w:w="346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94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-92.45</w:t>
            </w:r>
          </w:p>
        </w:tc>
        <w:tc>
          <w:tcPr>
            <w:tcW w:w="87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193.06</w:t>
            </w:r>
          </w:p>
        </w:tc>
        <w:tc>
          <w:tcPr>
            <w:tcW w:w="82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93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0.97</w:t>
            </w:r>
          </w:p>
        </w:tc>
        <w:tc>
          <w:tcPr>
            <w:tcW w:w="100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0.25</w:t>
            </w:r>
          </w:p>
        </w:tc>
      </w:tr>
    </w:tbl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F07E7" w:rsidRDefault="002C677D" w:rsidP="006F07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S2. </w:t>
      </w:r>
      <w:r w:rsidR="006F07E7">
        <w:rPr>
          <w:rFonts w:ascii="Times New Roman" w:eastAsia="Times New Roman" w:hAnsi="Times New Roman" w:cs="Times New Roman"/>
        </w:rPr>
        <w:t xml:space="preserve">Model selection table of the one competitive model for switching from a short distance migrant tactic. * </w:t>
      </w:r>
      <w:proofErr w:type="gramStart"/>
      <w:r w:rsidR="006F07E7">
        <w:rPr>
          <w:rFonts w:ascii="Times New Roman" w:eastAsia="Times New Roman" w:hAnsi="Times New Roman" w:cs="Times New Roman"/>
        </w:rPr>
        <w:t>indicates</w:t>
      </w:r>
      <w:proofErr w:type="gramEnd"/>
      <w:r w:rsidR="006F07E7">
        <w:rPr>
          <w:rFonts w:ascii="Times New Roman" w:eastAsia="Times New Roman" w:hAnsi="Times New Roman" w:cs="Times New Roman"/>
        </w:rPr>
        <w:t xml:space="preserve"> informative covariates with 85% confidence intervals that do not overlap 0 (Arnold, 2010).</w:t>
      </w:r>
    </w:p>
    <w:p w:rsidR="006F07E7" w:rsidRDefault="006F07E7" w:rsidP="006F07E7">
      <w:pPr>
        <w:spacing w:before="240" w:after="240"/>
        <w:rPr>
          <w:rFonts w:ascii="Times New Roman" w:eastAsia="Times New Roman" w:hAnsi="Times New Roman" w:cs="Times New Roman"/>
          <w:b/>
        </w:rPr>
      </w:pPr>
    </w:p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F07E7" w:rsidRDefault="006F07E7" w:rsidP="006F07E7">
      <w:pPr>
        <w:rPr>
          <w:rFonts w:ascii="Times New Roman" w:eastAsia="Times New Roman" w:hAnsi="Times New Roman" w:cs="Times New Roman"/>
          <w:i/>
        </w:rPr>
      </w:pPr>
    </w:p>
    <w:p w:rsidR="006F07E7" w:rsidRDefault="006F07E7" w:rsidP="006F07E7">
      <w:pPr>
        <w:rPr>
          <w:rFonts w:ascii="Times New Roman" w:eastAsia="Times New Roman" w:hAnsi="Times New Roman" w:cs="Times New Roman"/>
          <w:i/>
        </w:rPr>
      </w:pPr>
    </w:p>
    <w:p w:rsidR="006F07E7" w:rsidRDefault="006F07E7" w:rsidP="006F07E7">
      <w:pPr>
        <w:rPr>
          <w:rFonts w:ascii="Times New Roman" w:eastAsia="Times New Roman" w:hAnsi="Times New Roman" w:cs="Times New Roman"/>
          <w:i/>
        </w:rPr>
      </w:pPr>
    </w:p>
    <w:p w:rsidR="006F07E7" w:rsidRDefault="006F07E7" w:rsidP="006F07E7">
      <w:pPr>
        <w:rPr>
          <w:rFonts w:ascii="Times New Roman" w:eastAsia="Times New Roman" w:hAnsi="Times New Roman" w:cs="Times New Roman"/>
          <w:i/>
        </w:rPr>
      </w:pPr>
    </w:p>
    <w:p w:rsidR="006F07E7" w:rsidRDefault="006F07E7" w:rsidP="006F07E7">
      <w:pPr>
        <w:rPr>
          <w:rFonts w:ascii="Times New Roman" w:eastAsia="Times New Roman" w:hAnsi="Times New Roman" w:cs="Times New Roman"/>
          <w:i/>
        </w:rPr>
      </w:pPr>
      <w:r>
        <w:br w:type="page"/>
      </w:r>
    </w:p>
    <w:tbl>
      <w:tblPr>
        <w:tblW w:w="129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1"/>
        <w:gridCol w:w="862"/>
        <w:gridCol w:w="1105"/>
        <w:gridCol w:w="874"/>
        <w:gridCol w:w="980"/>
        <w:gridCol w:w="1057"/>
        <w:gridCol w:w="1298"/>
        <w:gridCol w:w="568"/>
        <w:gridCol w:w="862"/>
        <w:gridCol w:w="894"/>
        <w:gridCol w:w="882"/>
        <w:gridCol w:w="1050"/>
        <w:gridCol w:w="923"/>
      </w:tblGrid>
      <w:tr w:rsidR="006F07E7" w:rsidTr="00006681">
        <w:trPr>
          <w:trHeight w:val="2105"/>
        </w:trPr>
        <w:tc>
          <w:tcPr>
            <w:tcW w:w="1551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lastRenderedPageBreak/>
              <w:t xml:space="preserve"> </w:t>
            </w:r>
          </w:p>
        </w:tc>
        <w:tc>
          <w:tcPr>
            <w:tcW w:w="86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Int.</w:t>
            </w:r>
          </w:p>
        </w:tc>
        <w:tc>
          <w:tcPr>
            <w:tcW w:w="1105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Max.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snow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div.</w:t>
            </w:r>
          </w:p>
        </w:tc>
        <w:tc>
          <w:tcPr>
            <w:tcW w:w="874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Herd-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lvl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. div. </w:t>
            </w:r>
          </w:p>
        </w:tc>
        <w:tc>
          <w:tcPr>
            <w:tcW w:w="98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Max. snow on win. range</w:t>
            </w:r>
          </w:p>
        </w:tc>
        <w:tc>
          <w:tcPr>
            <w:tcW w:w="1057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Spr.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mig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 range prop. dev.</w:t>
            </w:r>
          </w:p>
        </w:tc>
        <w:tc>
          <w:tcPr>
            <w:tcW w:w="1298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Mean days-from-peak green-up</w:t>
            </w:r>
          </w:p>
        </w:tc>
        <w:tc>
          <w:tcPr>
            <w:tcW w:w="568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</w:t>
            </w:r>
          </w:p>
        </w:tc>
        <w:tc>
          <w:tcPr>
            <w:tcW w:w="86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logLik</w:t>
            </w:r>
            <w:proofErr w:type="spellEnd"/>
          </w:p>
        </w:tc>
        <w:tc>
          <w:tcPr>
            <w:tcW w:w="894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</w:p>
        </w:tc>
        <w:tc>
          <w:tcPr>
            <w:tcW w:w="882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Delta</w:t>
            </w:r>
          </w:p>
        </w:tc>
        <w:tc>
          <w:tcPr>
            <w:tcW w:w="1050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AICc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Weight</w:t>
            </w:r>
          </w:p>
        </w:tc>
        <w:tc>
          <w:tcPr>
            <w:tcW w:w="923" w:type="dxa"/>
            <w:tcBorders>
              <w:bottom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MCC</w:t>
            </w:r>
          </w:p>
        </w:tc>
      </w:tr>
      <w:tr w:rsidR="006F07E7" w:rsidTr="00006681">
        <w:trPr>
          <w:trHeight w:val="755"/>
        </w:trPr>
        <w:tc>
          <w:tcPr>
            <w:tcW w:w="1551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Top-ranked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-1.69</w:t>
            </w:r>
          </w:p>
        </w:tc>
        <w:tc>
          <w:tcPr>
            <w:tcW w:w="110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55101" w:rsidRDefault="006F07E7" w:rsidP="003147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-3.63*</w:t>
            </w:r>
            <w:r w:rsidR="003147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5E2E51" w:rsidRDefault="0031471F" w:rsidP="003147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</w:t>
            </w:r>
            <w:r w:rsidRPr="0031471F">
              <w:rPr>
                <w:rFonts w:ascii="Times New Roman" w:eastAsia="Times New Roman" w:hAnsi="Times New Roman" w:cs="Times New Roman"/>
                <w:b/>
              </w:rPr>
              <w:t>-5.737</w:t>
            </w:r>
            <w:r>
              <w:rPr>
                <w:rFonts w:ascii="Times New Roman" w:eastAsia="Times New Roman" w:hAnsi="Times New Roman" w:cs="Times New Roman"/>
                <w:b/>
              </w:rPr>
              <w:t>,</w:t>
            </w:r>
            <w:r w:rsidRPr="0031471F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31471F" w:rsidRDefault="0031471F" w:rsidP="0031471F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1471F">
              <w:rPr>
                <w:rFonts w:ascii="Times New Roman" w:eastAsia="Times New Roman" w:hAnsi="Times New Roman" w:cs="Times New Roman"/>
                <w:b/>
              </w:rPr>
              <w:t>-1.717</w:t>
            </w:r>
            <w:r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87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2.37*</w:t>
            </w:r>
            <w:r w:rsidR="001E282D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1E282D" w:rsidRPr="001E282D">
              <w:rPr>
                <w:rFonts w:ascii="Times New Roman" w:eastAsia="Times New Roman" w:hAnsi="Times New Roman" w:cs="Times New Roman"/>
                <w:b/>
              </w:rPr>
              <w:t>1.1</w:t>
            </w:r>
            <w:r w:rsidR="001E282D">
              <w:rPr>
                <w:rFonts w:ascii="Times New Roman" w:eastAsia="Times New Roman" w:hAnsi="Times New Roman" w:cs="Times New Roman"/>
                <w:b/>
              </w:rPr>
              <w:t>1,</w:t>
            </w:r>
            <w:r w:rsidR="001E282D" w:rsidRPr="001E282D">
              <w:rPr>
                <w:rFonts w:ascii="Times New Roman" w:eastAsia="Times New Roman" w:hAnsi="Times New Roman" w:cs="Times New Roman"/>
                <w:b/>
              </w:rPr>
              <w:t xml:space="preserve"> 3.725</w:t>
            </w:r>
            <w:r w:rsidR="001E282D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1A55" w:rsidRDefault="006F07E7" w:rsidP="00561A5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3.30*</w:t>
            </w:r>
            <w:r w:rsidR="00561A55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561A55" w:rsidRPr="00561A55">
              <w:rPr>
                <w:rFonts w:ascii="Times New Roman" w:eastAsia="Times New Roman" w:hAnsi="Times New Roman" w:cs="Times New Roman"/>
                <w:b/>
              </w:rPr>
              <w:t>1.482</w:t>
            </w:r>
            <w:r w:rsidR="00561A55">
              <w:rPr>
                <w:rFonts w:ascii="Times New Roman" w:eastAsia="Times New Roman" w:hAnsi="Times New Roman" w:cs="Times New Roman"/>
                <w:b/>
              </w:rPr>
              <w:t>,</w:t>
            </w:r>
            <w:r w:rsidR="00561A55" w:rsidRPr="00561A55">
              <w:rPr>
                <w:rFonts w:ascii="Times New Roman" w:eastAsia="Times New Roman" w:hAnsi="Times New Roman" w:cs="Times New Roman"/>
                <w:b/>
              </w:rPr>
              <w:t>5.224</w:t>
            </w:r>
            <w:r w:rsidR="00561A55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5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29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5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-39.62</w:t>
            </w:r>
          </w:p>
        </w:tc>
        <w:tc>
          <w:tcPr>
            <w:tcW w:w="89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87.70</w:t>
            </w:r>
          </w:p>
        </w:tc>
        <w:tc>
          <w:tcPr>
            <w:tcW w:w="88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  <w:tc>
          <w:tcPr>
            <w:tcW w:w="10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0.17</w:t>
            </w:r>
          </w:p>
        </w:tc>
        <w:tc>
          <w:tcPr>
            <w:tcW w:w="923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0.31</w:t>
            </w:r>
          </w:p>
        </w:tc>
      </w:tr>
      <w:tr w:rsidR="006F07E7" w:rsidTr="00006681">
        <w:trPr>
          <w:trHeight w:val="740"/>
        </w:trPr>
        <w:tc>
          <w:tcPr>
            <w:tcW w:w="1551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 21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-1.56</w:t>
            </w:r>
          </w:p>
        </w:tc>
        <w:tc>
          <w:tcPr>
            <w:tcW w:w="110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74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8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-0.50*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A10501" w:rsidRPr="00A10501">
              <w:rPr>
                <w:rFonts w:ascii="Times New Roman" w:eastAsia="Times New Roman" w:hAnsi="Times New Roman" w:cs="Times New Roman"/>
                <w:b/>
              </w:rPr>
              <w:t>-1.029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 xml:space="preserve">, </w:t>
            </w:r>
            <w:r w:rsidR="00A10501" w:rsidRPr="00A10501">
              <w:rPr>
                <w:rFonts w:ascii="Times New Roman" w:eastAsia="Times New Roman" w:hAnsi="Times New Roman" w:cs="Times New Roman"/>
                <w:b/>
              </w:rPr>
              <w:t>-0.02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>9)</w:t>
            </w:r>
          </w:p>
        </w:tc>
        <w:tc>
          <w:tcPr>
            <w:tcW w:w="1057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A10501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0.59*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A10501" w:rsidRPr="00A10501">
              <w:rPr>
                <w:rFonts w:ascii="Times New Roman" w:eastAsia="Times New Roman" w:hAnsi="Times New Roman" w:cs="Times New Roman"/>
                <w:b/>
              </w:rPr>
              <w:t>0.20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>3,</w:t>
            </w:r>
            <w:r w:rsidR="00A10501" w:rsidRPr="00A10501">
              <w:rPr>
                <w:rFonts w:ascii="Times New Roman" w:eastAsia="Times New Roman" w:hAnsi="Times New Roman" w:cs="Times New Roman"/>
                <w:b/>
              </w:rPr>
              <w:t xml:space="preserve"> 1.075</w:t>
            </w:r>
            <w:r w:rsidR="00A10501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9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56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-41.21</w:t>
            </w:r>
          </w:p>
        </w:tc>
        <w:tc>
          <w:tcPr>
            <w:tcW w:w="894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88.70</w:t>
            </w:r>
          </w:p>
        </w:tc>
        <w:tc>
          <w:tcPr>
            <w:tcW w:w="88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1.00</w:t>
            </w:r>
          </w:p>
        </w:tc>
        <w:tc>
          <w:tcPr>
            <w:tcW w:w="105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0.10</w:t>
            </w:r>
          </w:p>
        </w:tc>
        <w:tc>
          <w:tcPr>
            <w:tcW w:w="923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0.12</w:t>
            </w:r>
          </w:p>
        </w:tc>
      </w:tr>
      <w:tr w:rsidR="006F07E7" w:rsidTr="00006681">
        <w:trPr>
          <w:trHeight w:val="740"/>
        </w:trPr>
        <w:tc>
          <w:tcPr>
            <w:tcW w:w="1551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 3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-1.50</w:t>
            </w:r>
          </w:p>
        </w:tc>
        <w:tc>
          <w:tcPr>
            <w:tcW w:w="110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7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5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0.39*</w:t>
            </w:r>
            <w:r w:rsidR="00292ECD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292ECD" w:rsidRPr="00292ECD">
              <w:rPr>
                <w:rFonts w:ascii="Times New Roman" w:eastAsia="Times New Roman" w:hAnsi="Times New Roman" w:cs="Times New Roman"/>
                <w:b/>
              </w:rPr>
              <w:t>0.0</w:t>
            </w:r>
            <w:r w:rsidR="00E4100F">
              <w:rPr>
                <w:rFonts w:ascii="Times New Roman" w:eastAsia="Times New Roman" w:hAnsi="Times New Roman" w:cs="Times New Roman"/>
                <w:b/>
              </w:rPr>
              <w:t>6,</w:t>
            </w:r>
            <w:r w:rsidR="00292ECD" w:rsidRPr="00292ECD">
              <w:rPr>
                <w:rFonts w:ascii="Times New Roman" w:eastAsia="Times New Roman" w:hAnsi="Times New Roman" w:cs="Times New Roman"/>
                <w:b/>
              </w:rPr>
              <w:t xml:space="preserve"> 0.79</w:t>
            </w:r>
            <w:r w:rsidR="00292ECD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29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5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-42.39</w:t>
            </w:r>
          </w:p>
        </w:tc>
        <w:tc>
          <w:tcPr>
            <w:tcW w:w="89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88.91</w:t>
            </w:r>
          </w:p>
        </w:tc>
        <w:tc>
          <w:tcPr>
            <w:tcW w:w="88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1.21</w:t>
            </w:r>
          </w:p>
        </w:tc>
        <w:tc>
          <w:tcPr>
            <w:tcW w:w="10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0.09</w:t>
            </w:r>
          </w:p>
        </w:tc>
        <w:tc>
          <w:tcPr>
            <w:tcW w:w="923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0.12</w:t>
            </w:r>
          </w:p>
        </w:tc>
      </w:tr>
      <w:tr w:rsidR="006F07E7" w:rsidTr="00006681">
        <w:trPr>
          <w:trHeight w:val="740"/>
        </w:trPr>
        <w:tc>
          <w:tcPr>
            <w:tcW w:w="1551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Model 20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-1.54</w:t>
            </w:r>
          </w:p>
        </w:tc>
        <w:tc>
          <w:tcPr>
            <w:tcW w:w="1105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74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8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57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0.42*</w:t>
            </w:r>
            <w:r w:rsidR="008A5853">
              <w:rPr>
                <w:rFonts w:ascii="Times New Roman" w:eastAsia="Times New Roman" w:hAnsi="Times New Roman" w:cs="Times New Roman"/>
                <w:b/>
              </w:rPr>
              <w:t xml:space="preserve"> (</w:t>
            </w:r>
            <w:r w:rsidR="008A5853" w:rsidRPr="008A5853">
              <w:rPr>
                <w:rFonts w:ascii="Times New Roman" w:eastAsia="Times New Roman" w:hAnsi="Times New Roman" w:cs="Times New Roman"/>
                <w:b/>
              </w:rPr>
              <w:t>0.083</w:t>
            </w:r>
            <w:r w:rsidR="008A5853">
              <w:rPr>
                <w:rFonts w:ascii="Times New Roman" w:eastAsia="Times New Roman" w:hAnsi="Times New Roman" w:cs="Times New Roman"/>
                <w:b/>
              </w:rPr>
              <w:t>,</w:t>
            </w:r>
            <w:r w:rsidR="008A5853" w:rsidRPr="008A5853">
              <w:rPr>
                <w:rFonts w:ascii="Times New Roman" w:eastAsia="Times New Roman" w:hAnsi="Times New Roman" w:cs="Times New Roman"/>
                <w:b/>
              </w:rPr>
              <w:t xml:space="preserve"> 0.82</w:t>
            </w:r>
            <w:r w:rsidR="008A5853">
              <w:rPr>
                <w:rFonts w:ascii="Times New Roman" w:eastAsia="Times New Roman" w:hAnsi="Times New Roman" w:cs="Times New Roman"/>
                <w:b/>
              </w:rPr>
              <w:t>8)</w:t>
            </w:r>
          </w:p>
        </w:tc>
        <w:tc>
          <w:tcPr>
            <w:tcW w:w="129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0.32</w:t>
            </w:r>
          </w:p>
        </w:tc>
        <w:tc>
          <w:tcPr>
            <w:tcW w:w="568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-41.46</w:t>
            </w:r>
          </w:p>
        </w:tc>
        <w:tc>
          <w:tcPr>
            <w:tcW w:w="894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89.20</w:t>
            </w:r>
          </w:p>
        </w:tc>
        <w:tc>
          <w:tcPr>
            <w:tcW w:w="882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1.50</w:t>
            </w:r>
          </w:p>
        </w:tc>
        <w:tc>
          <w:tcPr>
            <w:tcW w:w="1050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0.08</w:t>
            </w:r>
          </w:p>
        </w:tc>
        <w:tc>
          <w:tcPr>
            <w:tcW w:w="923" w:type="dxa"/>
            <w:tcBorders>
              <w:bottom w:val="single" w:sz="8" w:space="0" w:color="666666"/>
              <w:right w:val="single" w:sz="8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0.31</w:t>
            </w:r>
          </w:p>
        </w:tc>
      </w:tr>
      <w:tr w:rsidR="006F07E7" w:rsidTr="00006681">
        <w:trPr>
          <w:trHeight w:val="485"/>
        </w:trPr>
        <w:tc>
          <w:tcPr>
            <w:tcW w:w="1551" w:type="dxa"/>
            <w:tcBorders>
              <w:right w:val="single" w:sz="8" w:space="0" w:color="666666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right"/>
              <w:rPr>
                <w:rFonts w:ascii="Times New Roman" w:eastAsia="Times New Roman" w:hAnsi="Times New Roman" w:cs="Times New Roman"/>
                <w:b/>
                <w:i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Null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-1.47</w:t>
            </w:r>
          </w:p>
        </w:tc>
        <w:tc>
          <w:tcPr>
            <w:tcW w:w="1105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87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8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057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129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568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</w:p>
        </w:tc>
        <w:tc>
          <w:tcPr>
            <w:tcW w:w="86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-43.82</w:t>
            </w:r>
          </w:p>
        </w:tc>
        <w:tc>
          <w:tcPr>
            <w:tcW w:w="894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89.69</w:t>
            </w:r>
          </w:p>
        </w:tc>
        <w:tc>
          <w:tcPr>
            <w:tcW w:w="882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1.99</w:t>
            </w:r>
          </w:p>
        </w:tc>
        <w:tc>
          <w:tcPr>
            <w:tcW w:w="1050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—</w:t>
            </w:r>
          </w:p>
        </w:tc>
        <w:tc>
          <w:tcPr>
            <w:tcW w:w="923" w:type="dxa"/>
            <w:tcBorders>
              <w:bottom w:val="single" w:sz="8" w:space="0" w:color="666666"/>
              <w:right w:val="single" w:sz="8" w:space="0" w:color="666666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F07E7" w:rsidRDefault="006F07E7" w:rsidP="00F0602A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0</w:t>
            </w:r>
          </w:p>
        </w:tc>
      </w:tr>
    </w:tbl>
    <w:p w:rsidR="006F07E7" w:rsidRDefault="006F07E7" w:rsidP="006F07E7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6F07E7" w:rsidRDefault="00006681" w:rsidP="006F07E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Table S3. </w:t>
      </w:r>
      <w:r w:rsidR="006F07E7">
        <w:rPr>
          <w:rFonts w:ascii="Times New Roman" w:eastAsia="Times New Roman" w:hAnsi="Times New Roman" w:cs="Times New Roman"/>
        </w:rPr>
        <w:t xml:space="preserve">Model selection table of the five competitive models for switching from a </w:t>
      </w:r>
      <w:proofErr w:type="gramStart"/>
      <w:r w:rsidR="006F07E7">
        <w:rPr>
          <w:rFonts w:ascii="Times New Roman" w:eastAsia="Times New Roman" w:hAnsi="Times New Roman" w:cs="Times New Roman"/>
        </w:rPr>
        <w:t>long distance</w:t>
      </w:r>
      <w:proofErr w:type="gramEnd"/>
      <w:r w:rsidR="006F07E7">
        <w:rPr>
          <w:rFonts w:ascii="Times New Roman" w:eastAsia="Times New Roman" w:hAnsi="Times New Roman" w:cs="Times New Roman"/>
        </w:rPr>
        <w:t xml:space="preserve"> migrant tactic. * </w:t>
      </w:r>
      <w:proofErr w:type="gramStart"/>
      <w:r w:rsidR="006F07E7">
        <w:rPr>
          <w:rFonts w:ascii="Times New Roman" w:eastAsia="Times New Roman" w:hAnsi="Times New Roman" w:cs="Times New Roman"/>
        </w:rPr>
        <w:t>indicates</w:t>
      </w:r>
      <w:proofErr w:type="gramEnd"/>
      <w:r w:rsidR="006F07E7">
        <w:rPr>
          <w:rFonts w:ascii="Times New Roman" w:eastAsia="Times New Roman" w:hAnsi="Times New Roman" w:cs="Times New Roman"/>
        </w:rPr>
        <w:t xml:space="preserve"> informative covariates with 85% confidence intervals that do not overlap 0 (Arnold, 2010).</w:t>
      </w:r>
    </w:p>
    <w:p w:rsidR="006F07E7" w:rsidRDefault="006F07E7" w:rsidP="006F07E7">
      <w:pPr>
        <w:spacing w:before="200"/>
        <w:ind w:firstLine="720"/>
        <w:rPr>
          <w:rFonts w:ascii="Times New Roman" w:eastAsia="Times New Roman" w:hAnsi="Times New Roman" w:cs="Times New Roman"/>
        </w:rPr>
      </w:pPr>
    </w:p>
    <w:p w:rsidR="006F07E7" w:rsidRDefault="006F07E7" w:rsidP="006F07E7"/>
    <w:p w:rsidR="00FE5B24" w:rsidRDefault="00FE5B24"/>
    <w:sectPr w:rsidR="00FE5B24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3C"/>
    <w:rsid w:val="00006681"/>
    <w:rsid w:val="00090261"/>
    <w:rsid w:val="001E282D"/>
    <w:rsid w:val="00292ECD"/>
    <w:rsid w:val="002C677D"/>
    <w:rsid w:val="002D0BE6"/>
    <w:rsid w:val="002D3223"/>
    <w:rsid w:val="0031471F"/>
    <w:rsid w:val="00537FEE"/>
    <w:rsid w:val="00555101"/>
    <w:rsid w:val="00561A55"/>
    <w:rsid w:val="005A119B"/>
    <w:rsid w:val="005C4471"/>
    <w:rsid w:val="005E2E51"/>
    <w:rsid w:val="005E57DB"/>
    <w:rsid w:val="005F1142"/>
    <w:rsid w:val="006F07E7"/>
    <w:rsid w:val="008A5853"/>
    <w:rsid w:val="009743AF"/>
    <w:rsid w:val="00A10501"/>
    <w:rsid w:val="00A324EC"/>
    <w:rsid w:val="00B6574C"/>
    <w:rsid w:val="00BA7A8B"/>
    <w:rsid w:val="00C16823"/>
    <w:rsid w:val="00D00F64"/>
    <w:rsid w:val="00D9023C"/>
    <w:rsid w:val="00E4100F"/>
    <w:rsid w:val="00F528BA"/>
    <w:rsid w:val="00FE5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2895F"/>
  <w15:chartTrackingRefBased/>
  <w15:docId w15:val="{44CCBD08-D26B-844C-81E9-50E6200D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375</Words>
  <Characters>2142</Characters>
  <Application>Microsoft Office Word</Application>
  <DocSecurity>0</DocSecurity>
  <Lines>17</Lines>
  <Paragraphs>5</Paragraphs>
  <ScaleCrop>false</ScaleCrop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 Zuckerman</dc:creator>
  <cp:keywords/>
  <dc:description/>
  <cp:lastModifiedBy>Gabe Zuckerman</cp:lastModifiedBy>
  <cp:revision>29</cp:revision>
  <dcterms:created xsi:type="dcterms:W3CDTF">2022-12-30T19:56:00Z</dcterms:created>
  <dcterms:modified xsi:type="dcterms:W3CDTF">2022-12-30T21:50:00Z</dcterms:modified>
</cp:coreProperties>
</file>