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Arial" w:cs="Arial" w:eastAsia="Arial" w:hAnsi="Arial"/>
          <w:b/>
          <w:bCs/>
          <w:sz w:val="24"/>
          <w:szCs w:val="24"/>
        </w:rPr>
        <w:t xml:space="preserve">DATA WAREHOUSE PARA O DOMÍNIO DE VENDAS DA ADVENTUREWORKS: MODELAGEM DIMENSIONAL EM ESTRELA E ETL INCREMENTAL COM PYTHON E POSTGRESQL</w:t>
      </w:r>
    </w:p>
    <w:p>
      <w:pPr>
        <w:spacing w:after="60" w:before="0" w:line="240" w:lineRule="auto"/>
        <w:jc w:val="right"/>
      </w:pPr>
      <w:r>
        <w:rPr>
          <w:rFonts w:ascii="Arial" w:cs="Arial" w:eastAsia="Arial" w:hAnsi="Arial"/>
          <w:sz w:val="24"/>
          <w:szCs w:val="24"/>
        </w:rPr>
        <w:t xml:space="preserve">Cecília [Sobrenome]¹</w:t>
      </w:r>
    </w:p>
    <w:p>
      <w:pPr>
        <w:spacing w:after="240" w:before="0" w:line="240" w:lineRule="auto"/>
        <w:jc w:val="right"/>
      </w:pPr>
      <w:r>
        <w:rPr>
          <w:rFonts w:ascii="Arial" w:cs="Arial" w:eastAsia="Arial" w:hAnsi="Arial"/>
          <w:sz w:val="24"/>
          <w:szCs w:val="24"/>
        </w:rPr>
        <w:t xml:space="preserve">[Nome do(a) Orientador(a)]²</w:t>
      </w:r>
    </w:p>
    <w:p>
      <w:pPr>
        <w:spacing w:after="0" w:before="0" w:line="240" w:lineRule="auto"/>
      </w:pPr>
      <w:r>
        <w:rPr>
          <w:rFonts w:ascii="Arial" w:cs="Arial" w:eastAsia="Arial" w:hAnsi="Arial"/>
          <w:b/>
          <w:bCs/>
          <w:sz w:val="24"/>
          <w:szCs w:val="24"/>
        </w:rPr>
        <w:t xml:space="preserve">RESUMO</w:t>
      </w:r>
    </w:p>
    <w:p>
      <w:pPr>
        <w:spacing w:after="120" w:before="0" w:line="240" w:lineRule="auto"/>
        <w:jc w:val="both"/>
      </w:pPr>
      <w:r>
        <w:rPr>
          <w:rFonts w:ascii="Arial" w:cs="Arial" w:eastAsia="Arial" w:hAnsi="Arial"/>
          <w:b w:val="false"/>
          <w:bCs w:val="false"/>
          <w:i w:val="false"/>
          <w:iCs w:val="false"/>
          <w:sz w:val="24"/>
          <w:szCs w:val="24"/>
        </w:rPr>
        <w:t xml:space="preserve">Este artigo apresenta o projeto e a implementação de um Data Warehouse (DW) dimensional para o domínio de Vendas da base transacional AdventureWorks, disponibilizada pela Microsoft como referência didática para bancos de dados corporativos. Inicialmente é avaliado o modelo de dados OLTP do AdventureWorks, identificando suas entidades centrais e as limitações desse modelo altamente normalizado para fins analíticos. A partir dessa análise, propõe-se um modelo multidimensional em esquema estrela (Star Schema), com uma tabela fato de vendas e sete dimensões, incluindo dimensões com histórico via Slowly Changing Dimension (SCD) Tipo 2. É descrita a construção de uma rotina de ETL (Extract, Transform, Load) incremental, desenvolvida em Python, responsável por extrair somente os dados novos ou alterados na origem, por meio de marcas d'água (watermarks) baseadas em data de modificação, e por carregá-los no Data Warehouse implementado em PostgreSQL. São ainda propostos dez indicadores de negócio (KPIs), com os respectivos scripts SQL de comprovação, e uma justificativa das principais decisões de modelagem adotadas. Os resultados demonstram a viabilidade de transformar uma base OLTP normalizada em um modelo analítico eficiente, apto a sustentar relatórios gerenciais e análises de desempenho comercial.</w:t>
      </w:r>
    </w:p>
    <w:p>
      <w:pPr>
        <w:spacing w:after="240" w:before="0" w:line="240" w:lineRule="auto"/>
        <w:jc w:val="both"/>
      </w:pPr>
      <w:r>
        <w:rPr>
          <w:rFonts w:ascii="Arial" w:cs="Arial" w:eastAsia="Arial" w:hAnsi="Arial"/>
          <w:b/>
          <w:bCs/>
          <w:i w:val="false"/>
          <w:iCs w:val="false"/>
          <w:sz w:val="24"/>
          <w:szCs w:val="24"/>
        </w:rPr>
        <w:t xml:space="preserve">Palavras-chave: </w:t>
      </w:r>
      <w:r>
        <w:rPr>
          <w:rFonts w:ascii="Arial" w:cs="Arial" w:eastAsia="Arial" w:hAnsi="Arial"/>
          <w:b w:val="false"/>
          <w:bCs w:val="false"/>
          <w:i w:val="false"/>
          <w:iCs w:val="false"/>
          <w:sz w:val="24"/>
          <w:szCs w:val="24"/>
        </w:rPr>
        <w:t xml:space="preserve">Data Warehouse. Modelagem Dimensional. Star Schema. ETL Incremental. AdventureWorks.</w:t>
      </w:r>
    </w:p>
    <w:p>
      <w:pPr>
        <w:spacing w:after="0" w:before="0" w:line="240" w:lineRule="auto"/>
      </w:pPr>
      <w:r>
        <w:rPr>
          <w:rFonts w:ascii="Arial" w:cs="Arial" w:eastAsia="Arial" w:hAnsi="Arial"/>
          <w:b/>
          <w:bCs/>
          <w:sz w:val="24"/>
          <w:szCs w:val="24"/>
        </w:rPr>
        <w:t xml:space="preserve">ABSTRACT</w:t>
      </w:r>
    </w:p>
    <w:p>
      <w:pPr>
        <w:spacing w:after="120" w:before="0" w:line="240" w:lineRule="auto"/>
        <w:jc w:val="both"/>
      </w:pPr>
      <w:r>
        <w:rPr>
          <w:rFonts w:ascii="Arial" w:cs="Arial" w:eastAsia="Arial" w:hAnsi="Arial"/>
          <w:b w:val="false"/>
          <w:bCs w:val="false"/>
          <w:i w:val="false"/>
          <w:iCs w:val="false"/>
          <w:sz w:val="24"/>
          <w:szCs w:val="24"/>
        </w:rPr>
        <w:t xml:space="preserve">This paper presents the design and implementation of a dimensional Data Warehouse (DW) for the Sales domain of the AdventureWorks transactional database, provided by Microsoft as a reference dataset for enterprise database education. The AdventureWorks OLTP data model is first evaluated, identifying its core entities and the limitations of this highly normalized model for analytical purposes. Based on this analysis, a multidimensional Star Schema model is proposed, comprising a sales fact table and seven dimensions, including dimensions with historical tracking through Type 2 Slowly Changing Dimensions (SCD). An incremental Extract, Transform, Load (ETL) routine, developed in Python, is described; it extracts only new or changed source records through modification-date watermarks and loads them into a PostgreSQL-based Data Warehouse. Ten business Key Performance Indicators (KPIs) are also proposed, along with their corresponding validation SQL scripts, together with a justification of the main modeling decisions adopted. The results demonstrate the feasibility of transforming a normalized OLTP database into an efficient analytical model capable of supporting managerial reporting and sales performance analysis.</w:t>
      </w:r>
    </w:p>
    <w:p>
      <w:pPr>
        <w:spacing w:after="240" w:before="0" w:line="240" w:lineRule="auto"/>
        <w:jc w:val="both"/>
      </w:pPr>
      <w:r>
        <w:rPr>
          <w:rFonts w:ascii="Arial" w:cs="Arial" w:eastAsia="Arial" w:hAnsi="Arial"/>
          <w:b/>
          <w:bCs/>
          <w:i w:val="false"/>
          <w:iCs w:val="false"/>
          <w:sz w:val="24"/>
          <w:szCs w:val="24"/>
        </w:rPr>
        <w:t xml:space="preserve">Keywords: </w:t>
      </w:r>
      <w:r>
        <w:rPr>
          <w:rFonts w:ascii="Arial" w:cs="Arial" w:eastAsia="Arial" w:hAnsi="Arial"/>
          <w:b w:val="false"/>
          <w:bCs w:val="false"/>
          <w:i w:val="false"/>
          <w:iCs w:val="false"/>
          <w:sz w:val="24"/>
          <w:szCs w:val="24"/>
        </w:rPr>
        <w:t xml:space="preserve">Data Warehouse. Dimensional Modeling. Star Schema. Incremental ETL. AdventureWorks.</w:t>
      </w:r>
    </w:p>
    <w:p>
      <w:pPr>
        <w:spacing w:after="0" w:before="240" w:line="240" w:lineRule="auto"/>
        <w:jc w:val="left"/>
      </w:pPr>
      <w:r>
        <w:rPr>
          <w:rFonts w:ascii="Arial" w:cs="Arial" w:eastAsia="Arial" w:hAnsi="Arial"/>
          <w:b/>
          <w:bCs/>
          <w:sz w:val="24"/>
          <w:szCs w:val="24"/>
        </w:rPr>
        <w:t xml:space="preserve">1 INTRODUÇÃO</w:t>
      </w:r>
    </w:p>
    <w:p>
      <w:pPr>
        <w:spacing w:after="120" w:before="0" w:line="240" w:lineRule="auto"/>
        <w:jc w:val="both"/>
      </w:pPr>
      <w:r>
        <w:rPr>
          <w:rFonts w:ascii="Arial" w:cs="Arial" w:eastAsia="Arial" w:hAnsi="Arial"/>
          <w:b w:val="false"/>
          <w:bCs w:val="false"/>
          <w:i w:val="false"/>
          <w:iCs w:val="false"/>
          <w:sz w:val="24"/>
          <w:szCs w:val="24"/>
        </w:rPr>
        <w:t xml:space="preserve">Empresas que dependem de sistemas transacionais (OLTP – Online Transaction Processing) para registrar suas operações do dia a dia frequentemente enfrentam dificuldades ao tentar extrair, desses mesmos sistemas, informações gerenciais consolidadas. Isso ocorre porque bancos de dados OLTP são projetados com foco em integridade e desempenho de escrita, seguindo princípios de normalização que fragmentam a informação em múltiplas tabelas relacionadas. Embora adequado para o registro de transações, esse modelo dificulta consultas analíticas complexas, que normalmente exigem a agregação de grandes volumes de dados sob diferentes perspectivas de negócio.</w:t>
      </w:r>
    </w:p>
    <w:p>
      <w:pPr>
        <w:spacing w:after="120" w:before="0" w:line="240" w:lineRule="auto"/>
        <w:jc w:val="both"/>
      </w:pPr>
      <w:r>
        <w:rPr>
          <w:rFonts w:ascii="Arial" w:cs="Arial" w:eastAsia="Arial" w:hAnsi="Arial"/>
          <w:b w:val="false"/>
          <w:bCs w:val="false"/>
          <w:i w:val="false"/>
          <w:iCs w:val="false"/>
          <w:sz w:val="24"/>
          <w:szCs w:val="24"/>
        </w:rPr>
        <w:t xml:space="preserve">Nesse contexto, a Business Intelligence (BI) propõe a construção de Data Warehouses (DW): repositórios de dados organizados especificamente para fins analíticos, geralmente estruturados segundo modelos dimensionais como o Star Schema (esquema estrela). Esses modelos privilegiam a simplicidade de consulta e o desempenho de leitura, concentrando as métricas de negócio em tabelas fato cercadas por tabelas de dimensão que descrevem o contexto de cada evento registrado.</w:t>
      </w:r>
    </w:p>
    <w:p>
      <w:pPr>
        <w:spacing w:after="120" w:before="0" w:line="240" w:lineRule="auto"/>
        <w:jc w:val="both"/>
      </w:pPr>
      <w:r>
        <w:rPr>
          <w:rFonts w:ascii="Arial" w:cs="Arial" w:eastAsia="Arial" w:hAnsi="Arial"/>
          <w:b w:val="false"/>
          <w:bCs w:val="false"/>
          <w:i w:val="false"/>
          <w:iCs w:val="false"/>
          <w:sz w:val="24"/>
          <w:szCs w:val="24"/>
        </w:rPr>
        <w:t xml:space="preserve">O presente trabalho tem como objetivo geral projetar e implementar um Data Warehouse para o domínio de Vendas da base de dados AdventureWorks, disponibilizada pela Microsoft como conjunto de dados de referência para fins didáticos. De forma específica, o trabalho busca: (i) avaliar o modelo de dados OLTP do AdventureWorks e suas limitações analíticas; (ii) definir dez indicadores de negócio relevantes ao domínio de vendas; (iii) propor um modelo multidimensional em esquema estrela; (iv) construir uma rotina de ETL incremental em Python; e (v) implementar o Data Warehouse resultante no Sistema Gerenciador de Banco de Dados (SGBD) PostgreSQL.</w:t>
      </w:r>
    </w:p>
    <w:p>
      <w:pPr>
        <w:spacing w:after="120" w:before="0" w:line="240" w:lineRule="auto"/>
        <w:jc w:val="both"/>
      </w:pPr>
      <w:r>
        <w:rPr>
          <w:rFonts w:ascii="Arial" w:cs="Arial" w:eastAsia="Arial" w:hAnsi="Arial"/>
          <w:b w:val="false"/>
          <w:bCs w:val="false"/>
          <w:i w:val="false"/>
          <w:iCs w:val="false"/>
          <w:sz w:val="24"/>
          <w:szCs w:val="24"/>
        </w:rPr>
        <w:t xml:space="preserve">A escolha de uma estratégia de ETL incremental, em vez de cargas completas (full load) a cada execução, justifica-se pela necessidade de reduzir o tempo de processamento e a carga sobre o sistema de origem, características especialmente relevantes em ambientes de produção com grandes volumes de dados transacionais. Esse tipo de estratégia é amplamente adotado em cenários reais de engenharia de dados, nos quais a atualização do DW deve ocorrer de forma frequente e eficiente.</w:t>
      </w:r>
    </w:p>
    <w:p>
      <w:pPr>
        <w:spacing w:after="120" w:before="0" w:line="240" w:lineRule="auto"/>
        <w:jc w:val="both"/>
      </w:pPr>
      <w:r>
        <w:rPr>
          <w:rFonts w:ascii="Arial" w:cs="Arial" w:eastAsia="Arial" w:hAnsi="Arial"/>
          <w:b w:val="false"/>
          <w:bCs w:val="false"/>
          <w:i w:val="false"/>
          <w:iCs w:val="false"/>
          <w:sz w:val="24"/>
          <w:szCs w:val="24"/>
        </w:rPr>
        <w:t xml:space="preserve">Este artigo está estruturado da seguinte forma: a seção 2 apresenta a fundamentação teórica sobre modelagem multidimensional e processos de ETL; a seção 3 detalha o desenvolvimento do trabalho, incluindo a avaliação do modelo OLTP, os indicadores propostos, o modelo estrela, o dicionário de dados, a estratégia de ETL incremental, a justificativa das decisões de modelagem e os scripts SQL que comprovam a implementação dos indicadores; por fim, a seção 4 apresenta as considerações finais do trabalho.</w:t>
      </w:r>
    </w:p>
    <w:p>
      <w:pPr>
        <w:spacing w:after="0" w:before="240" w:line="240" w:lineRule="auto"/>
        <w:jc w:val="left"/>
      </w:pPr>
      <w:r>
        <w:rPr>
          <w:rFonts w:ascii="Arial" w:cs="Arial" w:eastAsia="Arial" w:hAnsi="Arial"/>
          <w:b/>
          <w:bCs/>
          <w:sz w:val="24"/>
          <w:szCs w:val="24"/>
        </w:rPr>
        <w:t xml:space="preserve">2 FUNDAMENTAÇÃO TEÓRICA</w:t>
      </w:r>
    </w:p>
    <w:p>
      <w:pPr>
        <w:spacing w:after="0" w:before="240" w:line="240" w:lineRule="auto"/>
        <w:jc w:val="left"/>
      </w:pPr>
      <w:r>
        <w:rPr>
          <w:rFonts w:ascii="Arial" w:cs="Arial" w:eastAsia="Arial" w:hAnsi="Arial"/>
          <w:b w:val="false"/>
          <w:bCs w:val="false"/>
          <w:sz w:val="24"/>
          <w:szCs w:val="24"/>
        </w:rPr>
        <w:t xml:space="preserve">2.1 MODELAGEM MULTIDIMENSIONAL E STAR SCHEMA</w:t>
      </w:r>
    </w:p>
    <w:p>
      <w:pPr>
        <w:spacing w:after="120" w:before="0" w:line="240" w:lineRule="auto"/>
        <w:jc w:val="both"/>
      </w:pPr>
      <w:r>
        <w:rPr>
          <w:rFonts w:ascii="Arial" w:cs="Arial" w:eastAsia="Arial" w:hAnsi="Arial"/>
          <w:b w:val="false"/>
          <w:bCs w:val="false"/>
          <w:i w:val="false"/>
          <w:iCs w:val="false"/>
          <w:sz w:val="24"/>
          <w:szCs w:val="24"/>
        </w:rPr>
        <w:t xml:space="preserve">A modelagem dimensional é uma técnica de modelagem de dados voltada para sistemas de apoio à decisão, cujo objetivo principal é tornar os dados compreensíveis e de fácil acesso para usuários de negócio, ao mesmo tempo em que garante desempenho satisfatório em consultas analíticas sobre grandes volumes de dados (Kimball; Ross, 2013). Diferentemente da modelagem relacional normalizada, orientada à eliminação de redundâncias, a modelagem dimensional aceita certo grau de desnormalização em favor da simplicidade e da performance de leitura.</w:t>
      </w:r>
    </w:p>
    <w:p>
      <w:pPr>
        <w:spacing w:after="120" w:before="0" w:line="240" w:lineRule="auto"/>
        <w:jc w:val="both"/>
      </w:pPr>
      <w:r>
        <w:rPr>
          <w:rFonts w:ascii="Arial" w:cs="Arial" w:eastAsia="Arial" w:hAnsi="Arial"/>
          <w:b w:val="false"/>
          <w:bCs w:val="false"/>
          <w:i w:val="false"/>
          <w:iCs w:val="false"/>
          <w:sz w:val="24"/>
          <w:szCs w:val="24"/>
        </w:rPr>
        <w:t xml:space="preserve">O esquema estrela (Star Schema) é o padrão mais difundido de modelagem dimensional. Nele, uma tabela central — a tabela fato — concentra as métricas quantitativas do negócio (as chamadas medidas), enquanto tabelas de dimensão, ligadas à tabela fato por meio de chaves estrangeiras, descrevem o contexto de cada evento registrado, como quem, o quê, quando e onde uma transação ocorreu (Kimball; Ross, 2013). A denominação "estrela" decorre da representação visual do modelo, em que a tabela fato ocupa o centro do diagrama e as dimensões se posicionam ao redor, de forma similar a uma estrela.</w:t>
      </w:r>
    </w:p>
    <w:p>
      <w:pPr>
        <w:spacing w:after="120" w:before="0" w:line="240" w:lineRule="auto"/>
        <w:jc w:val="both"/>
      </w:pPr>
      <w:r>
        <w:rPr>
          <w:rFonts w:ascii="Arial" w:cs="Arial" w:eastAsia="Arial" w:hAnsi="Arial"/>
          <w:b w:val="false"/>
          <w:bCs w:val="false"/>
          <w:i w:val="false"/>
          <w:iCs w:val="false"/>
          <w:sz w:val="24"/>
          <w:szCs w:val="24"/>
        </w:rPr>
        <w:t xml:space="preserve">Cada tabela fato possui um grão (grain) bem definido, isto é, o nível de detalhe representado por cada linha da tabela — por exemplo, um item de um pedido de venda. A definição precisa do grão é considerada uma das decisões mais importantes do projeto dimensional, pois determina quais dimensões podem se relacionar à tabela fato e a granularidade das análises possíveis (Kimball; Ross, 2013).</w:t>
      </w:r>
    </w:p>
    <w:p>
      <w:pPr>
        <w:spacing w:after="120" w:before="0" w:line="240" w:lineRule="auto"/>
        <w:jc w:val="both"/>
      </w:pPr>
      <w:r>
        <w:rPr>
          <w:rFonts w:ascii="Arial" w:cs="Arial" w:eastAsia="Arial" w:hAnsi="Arial"/>
          <w:b w:val="false"/>
          <w:bCs w:val="false"/>
          <w:i w:val="false"/>
          <w:iCs w:val="false"/>
          <w:sz w:val="24"/>
          <w:szCs w:val="24"/>
        </w:rPr>
        <w:t xml:space="preserve">Um conceito central na manutenção de dimensões ao longo do tempo é o de Slowly Changing Dimension (SCD), que trata da forma como mudanças em atributos descritivos — como o endereço de um cliente ou a categoria de um produto — devem ser tratadas no Data Warehouse. Na SCD Tipo 1, o valor antigo é simplesmente sobrescrito pelo novo, perdendo-se o histórico. Na SCD Tipo 2, por sua vez, uma nova linha é inserida na dimensão a cada mudança relevante, preservando o histórico completo por meio de colunas de data de vigência (effective date) e indicador de versão atual (is_current), o que permite análises históricas corretas — por exemplo, atribuir uma venda antiga à categoria de produto vigente na época da venda, e não à categoria atual (Kimball; Ross, 2013).</w:t>
      </w:r>
    </w:p>
    <w:p>
      <w:pPr>
        <w:spacing w:after="120" w:before="0" w:line="240" w:lineRule="auto"/>
        <w:jc w:val="both"/>
      </w:pPr>
      <w:r>
        <w:rPr>
          <w:rFonts w:ascii="Arial" w:cs="Arial" w:eastAsia="Arial" w:hAnsi="Arial"/>
          <w:b w:val="false"/>
          <w:bCs w:val="false"/>
          <w:i w:val="false"/>
          <w:iCs w:val="false"/>
          <w:sz w:val="24"/>
          <w:szCs w:val="24"/>
        </w:rPr>
        <w:t xml:space="preserve">Outro conceito relevante é o de dimensão degenerada, que corresponde a um atributo proveniente da origem transacional — como o número de um pedido — que é mantido diretamente na tabela fato, sem uma tabela de dimensão associada, por não possuir atributos descritivos próprios além do identificador (Kimball; Ross, 2013). Além disso, o modelo dimensional frequentemente utiliza chaves substitutas (surrogate keys), geradas artificialmente no próprio Data Warehouse, em vez das chaves naturais da origem, o que desacopla o modelo analítico de eventuais mudanças na origem e viabiliza o versionamento histórico das dimensões do tipo SCD 2.</w:t>
      </w:r>
    </w:p>
    <w:p>
      <w:pPr>
        <w:spacing w:after="0" w:before="240" w:line="240" w:lineRule="auto"/>
        <w:jc w:val="left"/>
      </w:pPr>
      <w:r>
        <w:rPr>
          <w:rFonts w:ascii="Arial" w:cs="Arial" w:eastAsia="Arial" w:hAnsi="Arial"/>
          <w:b w:val="false"/>
          <w:bCs w:val="false"/>
          <w:sz w:val="24"/>
          <w:szCs w:val="24"/>
        </w:rPr>
        <w:t xml:space="preserve">2.2 PROCESSOS DE ETL E CARGA INCREMENTAL</w:t>
      </w:r>
    </w:p>
    <w:p>
      <w:pPr>
        <w:spacing w:after="120" w:before="0" w:line="240" w:lineRule="auto"/>
        <w:jc w:val="both"/>
      </w:pPr>
      <w:r>
        <w:rPr>
          <w:rFonts w:ascii="Arial" w:cs="Arial" w:eastAsia="Arial" w:hAnsi="Arial"/>
          <w:b w:val="false"/>
          <w:bCs w:val="false"/>
          <w:i w:val="false"/>
          <w:iCs w:val="false"/>
          <w:sz w:val="24"/>
          <w:szCs w:val="24"/>
        </w:rPr>
        <w:t xml:space="preserve">O processo de ETL (Extract, Transform, Load) compreende as três etapas responsáveis por povoar um Data Warehouse a partir de uma ou mais fontes de dados: a extração dos dados da origem, a transformação desses dados — incluindo limpeza, padronização, aplicação de regras de negócio e resolução de chaves — e, por fim, a carga dos dados já tratados no ambiente analítico de destino. Trata-se de um dos componentes mais críticos de um projeto de Data Warehouse, pois a qualidade e a consistência dos dados analíticos dependem diretamente da robustez dessa rotina.</w:t>
      </w:r>
    </w:p>
    <w:p>
      <w:pPr>
        <w:spacing w:after="120" w:before="0" w:line="240" w:lineRule="auto"/>
        <w:jc w:val="both"/>
      </w:pPr>
      <w:r>
        <w:rPr>
          <w:rFonts w:ascii="Arial" w:cs="Arial" w:eastAsia="Arial" w:hAnsi="Arial"/>
          <w:b w:val="false"/>
          <w:bCs w:val="false"/>
          <w:i w:val="false"/>
          <w:iCs w:val="false"/>
          <w:sz w:val="24"/>
          <w:szCs w:val="24"/>
        </w:rPr>
        <w:t xml:space="preserve">As cargas de ETL podem ser classificadas, quanto à sua abrangência, em cargas completas (full load) e cargas incrementais. Na carga completa, todo o conteúdo da origem é reprocessado a cada execução, abordagem simples, porém pouco eficiente para grandes volumes de dados. Já na carga incremental, apenas os registros novos ou modificados desde a última execução são extraídos e processados, reduzindo significativamente o tempo de processamento e o impacto sobre o sistema de origem.</w:t>
      </w:r>
    </w:p>
    <w:p>
      <w:pPr>
        <w:spacing w:after="120" w:before="0" w:line="240" w:lineRule="auto"/>
        <w:jc w:val="both"/>
      </w:pPr>
      <w:r>
        <w:rPr>
          <w:rFonts w:ascii="Arial" w:cs="Arial" w:eastAsia="Arial" w:hAnsi="Arial"/>
          <w:b w:val="false"/>
          <w:bCs w:val="false"/>
          <w:i w:val="false"/>
          <w:iCs w:val="false"/>
          <w:sz w:val="24"/>
          <w:szCs w:val="24"/>
        </w:rPr>
        <w:t xml:space="preserve">Uma das estratégias mais comuns para viabilizar a carga incremental é o uso de watermarks (marcas d'água): um valor de controle — tipicamente um timestamp — que indica até que ponto os dados da origem já foram processados. A cada execução, a ETL consulta apenas os registros cuja data de modificação seja posterior ao watermark armazenado, avançando esse marcador ao final de uma execução bem-sucedida. Essa técnica pressupõe que a origem mantenha uma coluna confiável de data de última modificação em suas tabelas, característica presente nas tabelas do AdventureWorks por meio da coluna ModifiedDate.</w:t>
      </w:r>
    </w:p>
    <w:p>
      <w:pPr>
        <w:spacing w:after="120" w:before="0" w:line="240" w:lineRule="auto"/>
        <w:jc w:val="both"/>
      </w:pPr>
      <w:r>
        <w:rPr>
          <w:rFonts w:ascii="Arial" w:cs="Arial" w:eastAsia="Arial" w:hAnsi="Arial"/>
          <w:b w:val="false"/>
          <w:bCs w:val="false"/>
          <w:i w:val="false"/>
          <w:iCs w:val="false"/>
          <w:sz w:val="24"/>
          <w:szCs w:val="24"/>
        </w:rPr>
        <w:t xml:space="preserve">Complementarmente, é fundamental que as rotinas de ETL incremental sejam idempotentes, ou seja, que possam ser executadas mais de uma vez sobre o mesmo conjunto de dados sem gerar duplicidades ou inconsistências no destino. Essa propriedade é normalmente obtida por meio de operações de UPSERT (inserção com atualização condicional, baseada em uma chave natural ou de negócio), que constituem uma prática recomendada em arquiteturas de ETL incremental modernas.</w:t>
      </w:r>
    </w:p>
    <w:p>
      <w:pPr>
        <w:spacing w:after="0" w:before="240" w:line="240" w:lineRule="auto"/>
        <w:jc w:val="left"/>
      </w:pPr>
      <w:r>
        <w:rPr>
          <w:rFonts w:ascii="Arial" w:cs="Arial" w:eastAsia="Arial" w:hAnsi="Arial"/>
          <w:b/>
          <w:bCs/>
          <w:sz w:val="24"/>
          <w:szCs w:val="24"/>
        </w:rPr>
        <w:t xml:space="preserve">3 DESENVOLVIMENTO</w:t>
      </w:r>
    </w:p>
    <w:p>
      <w:pPr>
        <w:spacing w:after="0" w:before="240" w:line="240" w:lineRule="auto"/>
        <w:jc w:val="left"/>
      </w:pPr>
      <w:r>
        <w:rPr>
          <w:rFonts w:ascii="Arial" w:cs="Arial" w:eastAsia="Arial" w:hAnsi="Arial"/>
          <w:b w:val="false"/>
          <w:bCs w:val="false"/>
          <w:sz w:val="24"/>
          <w:szCs w:val="24"/>
        </w:rPr>
        <w:t xml:space="preserve">3.1 AVALIAÇÃO DO MODELO DE DADOS OLTP DO ADVENTUREWORKS</w:t>
      </w:r>
    </w:p>
    <w:p>
      <w:pPr>
        <w:spacing w:after="120" w:before="0" w:line="240" w:lineRule="auto"/>
        <w:jc w:val="both"/>
      </w:pPr>
      <w:r>
        <w:rPr>
          <w:rFonts w:ascii="Arial" w:cs="Arial" w:eastAsia="Arial" w:hAnsi="Arial"/>
          <w:b w:val="false"/>
          <w:bCs w:val="false"/>
          <w:i w:val="false"/>
          <w:iCs w:val="false"/>
          <w:sz w:val="24"/>
          <w:szCs w:val="24"/>
        </w:rPr>
        <w:t xml:space="preserve">O AdventureWorks é a base de dados de exemplo disponibilizada pela Microsoft para o SQL Server, simulando a operação de uma fabricante e revendedora fictícia de bicicletas e acessórios. Seu modelo de dados é organizado em múltiplos esquemas (schemas) que segregam as áreas de negócio da empresa: Person (dados cadastrais de pessoas), HumanResources (recursos humanos), Production (catálogo de produtos e manufatura), Purchasing (compras e fornecedores), Sales (vendas, clientes e territórios) e demais esquemas auxiliares.</w:t>
      </w:r>
    </w:p>
    <w:p>
      <w:pPr>
        <w:spacing w:after="120" w:before="0" w:line="240" w:lineRule="auto"/>
        <w:jc w:val="both"/>
      </w:pPr>
      <w:r>
        <w:rPr>
          <w:rFonts w:ascii="Arial" w:cs="Arial" w:eastAsia="Arial" w:hAnsi="Arial"/>
          <w:b w:val="false"/>
          <w:bCs w:val="false"/>
          <w:i w:val="false"/>
          <w:iCs w:val="false"/>
          <w:sz w:val="24"/>
          <w:szCs w:val="24"/>
        </w:rPr>
        <w:t xml:space="preserve">Para os fins deste trabalho, o foco de análise recaiu sobre o domínio de Vendas, cujas principais entidades transacionais são Sales.SalesOrderHeader (cabeçalho do pedido, contendo dados como cliente, vendedor, território, datas e totais) e Sales.SalesOrderDetail (itens do pedido, contendo produto, quantidade, preço unitário e desconto). Essas tabelas se relacionam, direta ou indiretamente, com Sales.Customer, Person.Person, Sales.Store, Production.Product, Production.ProductSubcategory, Production.ProductCategory, Sales.SalesPerson, Sales.SalesTerritory, Sales.SpecialOffer e Purchasing.ShipMethod, entre outras.</w:t>
      </w:r>
    </w:p>
    <w:p>
      <w:pPr>
        <w:spacing w:after="120" w:before="0" w:line="240" w:lineRule="auto"/>
        <w:jc w:val="both"/>
      </w:pPr>
      <w:r>
        <w:rPr>
          <w:rFonts w:ascii="Arial" w:cs="Arial" w:eastAsia="Arial" w:hAnsi="Arial"/>
          <w:b w:val="false"/>
          <w:bCs w:val="false"/>
          <w:i w:val="false"/>
          <w:iCs w:val="false"/>
          <w:sz w:val="24"/>
          <w:szCs w:val="24"/>
        </w:rPr>
        <w:t xml:space="preserve">A avaliação desse modelo revela as características típicas de um esquema fortemente normalizado (próximo da terceira forma normal): a informação de um único pedido de venda encontra-se fragmentada em dezenas de tabelas relacionadas por chaves estrangeiras, o que é adequado para garantir a integridade referencial e evitar anomalias de atualização em um sistema transacional, mas impõe um custo elevado de processamento (múltiplos JOINs) quando se deseja obter indicadores agregados, como a receita total por território ao longo do tempo. Além disso, o modelo OLTP não mantém, de forma nativa, o histórico de mudanças em atributos descritivos — por exemplo, se um produto muda de categoria, o modelo transacional não preserva a categoria vigente no momento de cada venda passada, o que compromete a fidelidade de análises históricas.</w:t>
      </w:r>
    </w:p>
    <w:p>
      <w:pPr>
        <w:spacing w:after="120" w:before="0" w:line="240" w:lineRule="auto"/>
        <w:jc w:val="both"/>
      </w:pPr>
      <w:r>
        <w:rPr>
          <w:rFonts w:ascii="Arial" w:cs="Arial" w:eastAsia="Arial" w:hAnsi="Arial"/>
          <w:b w:val="false"/>
          <w:bCs w:val="false"/>
          <w:i w:val="false"/>
          <w:iCs w:val="false"/>
          <w:sz w:val="24"/>
          <w:szCs w:val="24"/>
        </w:rPr>
        <w:t xml:space="preserve">Essas limitações reforçam a necessidade de um modelo dimensional dedicado à análise, capaz de: (i) reduzir a quantidade de junções necessárias para se obter métricas de negócio; (ii) desnormalizar atributos descritivos diretamente nas dimensões; (iii) preservar o histórico de mudanças relevantes por meio de dimensões SCD Tipo 2; e (iv) isolar a carga analítica da carga transacional, evitando impacto no desempenho do sistema OLTP em produção.</w:t>
      </w:r>
    </w:p>
    <w:p>
      <w:pPr>
        <w:spacing w:after="0" w:before="240" w:line="240" w:lineRule="auto"/>
        <w:jc w:val="left"/>
      </w:pPr>
      <w:r>
        <w:rPr>
          <w:rFonts w:ascii="Arial" w:cs="Arial" w:eastAsia="Arial" w:hAnsi="Arial"/>
          <w:b w:val="false"/>
          <w:bCs w:val="false"/>
          <w:sz w:val="24"/>
          <w:szCs w:val="24"/>
        </w:rPr>
        <w:t xml:space="preserve">3.2 INDICADORES (KPIS) DEFINIDOS</w:t>
      </w:r>
    </w:p>
    <w:p>
      <w:pPr>
        <w:spacing w:after="120" w:before="0" w:line="240" w:lineRule="auto"/>
        <w:jc w:val="both"/>
      </w:pPr>
      <w:r>
        <w:rPr>
          <w:rFonts w:ascii="Arial" w:cs="Arial" w:eastAsia="Arial" w:hAnsi="Arial"/>
          <w:b w:val="false"/>
          <w:bCs w:val="false"/>
          <w:i w:val="false"/>
          <w:iCs w:val="false"/>
          <w:sz w:val="24"/>
          <w:szCs w:val="24"/>
        </w:rPr>
        <w:t xml:space="preserve">A partir da avaliação do domínio de Vendas, foram definidos dez indicadores de negócio, contemplando dimensões de receita, rentabilidade, desempenho comercial e operação logística. O Quadro 1 apresenta os indicadores propostos, suas fórmulas conceituais e a finalidade analítica de cada 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3000"/>
      </w:tblGrid>
      <w:tr>
        <w:trPr>
          <w:tblHeader/>
        </w:trPr>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Indicador</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Fórmula conceitual</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Finalidade</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1</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Receita Total de Vendas</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SOMA(line_total)</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Acompanhar a evolução da receita por período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2</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Ticket Médio por Pedido</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SOMA(line_total) / nº pedidos distintos</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Medir o valor médio gerado por pedido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3</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Quantidade Total de Itens Vendidos</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SOMA(order_qty)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Medir o volume físico de vendas</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4</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Margem de Lucro Bruta (%)</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(receita − custo padrão) / receita</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Avaliar a rentabilidade por categoria de produto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5</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Taxa de Desconto Média (%)</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SOMA(desconto) / SOMA(preço × qtde)</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Monitorar o impacto de descontos na receita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6</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Vendas por Território</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SOMA(line_total) agrupado por território</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Identificar territórios de maior desempenho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7</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Top 10 Produtos por Receita</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TOP N SOMA(line_total) por produto</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Identificar produtos estratégicos</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8</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Desempenho por Vendedor</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SOMA(line_total) e ticket médio por vendedor</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Comparar produtividade da equipe comercial</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9</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Crescimento de Vendas Mês a Mês (%)</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(receita mês atual / receita mês anterior) − 1</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Identificar tendências de crescimento ou queda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10</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Lead Time Médio de Envio (dias)</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MÉDIA(data envio − data pedido)</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Avaliar a eficiência logística por território</w:t>
            </w:r>
          </w:p>
        </w:tc>
      </w:tr>
    </w:tbl>
    <w:p>
      <w:pPr>
        <w:spacing w:after="240" w:before="0" w:line="240" w:lineRule="auto"/>
        <w:jc w:val="center"/>
      </w:pPr>
      <w:r>
        <w:rPr>
          <w:rFonts w:ascii="Arial" w:cs="Arial" w:eastAsia="Arial" w:hAnsi="Arial"/>
          <w:sz w:val="20"/>
          <w:szCs w:val="20"/>
        </w:rPr>
        <w:t xml:space="preserve">Fonte: elaboração própria (2026).</w:t>
      </w:r>
    </w:p>
    <w:p>
      <w:pPr>
        <w:spacing w:after="120" w:before="0" w:line="240" w:lineRule="auto"/>
        <w:jc w:val="both"/>
      </w:pPr>
      <w:r>
        <w:rPr>
          <w:rFonts w:ascii="Arial" w:cs="Arial" w:eastAsia="Arial" w:hAnsi="Arial"/>
          <w:b w:val="false"/>
          <w:bCs w:val="false"/>
          <w:i w:val="false"/>
          <w:iCs w:val="false"/>
          <w:sz w:val="24"/>
          <w:szCs w:val="24"/>
        </w:rPr>
        <w:t xml:space="preserve">Os indicadores 1 a 5 exploram principalmente as medidas aditivas da tabela fato (receita, quantidade, custo e desconto), enquanto os indicadores 6 a 8 avaliam o desempenho por diferentes dimensões de análise (território, produto e vendedor). O indicador 9 introduz uma análise temporal comparativa (crescimento mês a mês), e o indicador 10 avalia um aspecto operacional/logístico do processo de vendas, combinando duas instâncias da dimensão calendário (data do pedido e data de envio).</w:t>
      </w:r>
    </w:p>
    <w:p>
      <w:pPr>
        <w:spacing w:after="0" w:before="240" w:line="240" w:lineRule="auto"/>
        <w:jc w:val="left"/>
      </w:pPr>
      <w:r>
        <w:rPr>
          <w:rFonts w:ascii="Arial" w:cs="Arial" w:eastAsia="Arial" w:hAnsi="Arial"/>
          <w:b w:val="false"/>
          <w:bCs w:val="false"/>
          <w:sz w:val="24"/>
          <w:szCs w:val="24"/>
        </w:rPr>
        <w:t xml:space="preserve">3.3 MODELO DIMENSIONAL PROPOSTO (STAR SCHEMA)</w:t>
      </w:r>
    </w:p>
    <w:p>
      <w:pPr>
        <w:spacing w:after="120" w:before="0" w:line="240" w:lineRule="auto"/>
        <w:jc w:val="both"/>
      </w:pPr>
      <w:r>
        <w:rPr>
          <w:rFonts w:ascii="Arial" w:cs="Arial" w:eastAsia="Arial" w:hAnsi="Arial"/>
          <w:b w:val="false"/>
          <w:bCs w:val="false"/>
          <w:i w:val="false"/>
          <w:iCs w:val="false"/>
          <w:sz w:val="24"/>
          <w:szCs w:val="24"/>
        </w:rPr>
        <w:t xml:space="preserve">Com base nos indicadores definidos na seção 3.2, foi proposto um modelo dimensional em esquema estrela cujo grão da tabela fato corresponde a um item de linha de pedido de venda (equivalente a uma linha de Sales.SalesOrderDetail). Essa granularidade foi escolhida por ser a mais fina disponível no domínio de vendas, permitindo que qualquer agregação de nível superior (por pedido, por dia, por mês, por território, por categoria de produto etc.) seja obtida a partir dela, sem perda de informação.</w:t>
      </w:r>
    </w:p>
    <w:p>
      <w:pPr>
        <w:spacing w:after="120" w:before="0" w:line="240" w:lineRule="auto"/>
        <w:jc w:val="both"/>
      </w:pPr>
      <w:r>
        <w:rPr>
          <w:rFonts w:ascii="Arial" w:cs="Arial" w:eastAsia="Arial" w:hAnsi="Arial"/>
          <w:b w:val="false"/>
          <w:bCs w:val="false"/>
          <w:i w:val="false"/>
          <w:iCs w:val="false"/>
          <w:sz w:val="24"/>
          <w:szCs w:val="24"/>
        </w:rPr>
        <w:t xml:space="preserve">A tabela fato dw.fact_sales concentra as medidas aditivas order_qty, unit_price, unit_price_discount, discount_amount, line_total, standard_cost, tax_amt e freight, além das dimensões degeneradas sales_order_number e sales_order_line_number, que preservam a rastreabilidade com o pedido de origem sem exigir uma tabela de dimensão própria. O fato relaciona-se a sete dimensões: dw.dim_date (utilizada três vezes, em um relacionamento de dimensão de papéis múltiplos — role-playing dimension — para representar as datas de pedido, envio e vencimento), dw.dim_customer, dw.dim_product, dw.dim_salesperson, dw.dim_territory, dw.dim_promotion e dw.dim_ship_method. As dimensões dim_customer, dim_product e dim_salesperson foram modeladas como SCD Tipo 2, por representarem entidades cujos atributos descritivos (endereço do cliente, categoria e preço do produto, cargo do vendedor) podem se alterar ao longo do tempo e cujo histórico é relevante para a correta atribuição de vendas passadas. As demais dimensões, por apresentarem baixa volatilidade, foram modeladas como SCD Tipo 1.</w:t>
      </w:r>
    </w:p>
    <w:p>
      <w:pPr>
        <w:spacing w:after="0" w:before="240" w:line="240" w:lineRule="auto"/>
        <w:jc w:val="left"/>
      </w:pPr>
      <w:r>
        <w:rPr>
          <w:rFonts w:ascii="Arial" w:cs="Arial" w:eastAsia="Arial" w:hAnsi="Arial"/>
          <w:b w:val="false"/>
          <w:bCs w:val="false"/>
          <w:sz w:val="24"/>
          <w:szCs w:val="24"/>
        </w:rPr>
        <w:t xml:space="preserve">3.4 DIAGRAMA DO MODELO MULTIDIMENSIONAL</w:t>
      </w:r>
    </w:p>
    <w:p>
      <w:pPr>
        <w:spacing w:after="0" w:before="240" w:line="240" w:lineRule="auto"/>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10000"/>
                    </a:xfrm>
                    <a:prstGeom prst="rect">
                      <a:avLst/>
                    </a:prstGeom>
                  </pic:spPr>
                </pic:pic>
              </a:graphicData>
            </a:graphic>
          </wp:inline>
        </w:drawing>
      </w:r>
    </w:p>
    <w:p>
      <w:pPr>
        <w:spacing w:after="0" w:before="240" w:line="240" w:lineRule="auto"/>
        <w:jc w:val="center"/>
      </w:pPr>
      <w:r>
        <w:rPr>
          <w:rFonts w:ascii="Arial" w:cs="Arial" w:eastAsia="Arial" w:hAnsi="Arial"/>
          <w:sz w:val="24"/>
          <w:szCs w:val="24"/>
        </w:rPr>
        <w:t xml:space="preserve">Figura 1 – Modelo estrela do Data Warehouse de Vendas — AdventureWorks</w:t>
      </w:r>
    </w:p>
    <w:p>
      <w:pPr>
        <w:spacing w:after="240" w:before="0" w:line="240" w:lineRule="auto"/>
        <w:jc w:val="center"/>
      </w:pPr>
      <w:r>
        <w:rPr>
          <w:rFonts w:ascii="Arial" w:cs="Arial" w:eastAsia="Arial" w:hAnsi="Arial"/>
          <w:sz w:val="20"/>
          <w:szCs w:val="20"/>
        </w:rPr>
        <w:t xml:space="preserve">Fonte: elaboração própria (2026), gerado a partir do script diagrams/gen_diagram.py.</w:t>
      </w:r>
    </w:p>
    <w:p>
      <w:pPr>
        <w:spacing w:after="120" w:before="0" w:line="240" w:lineRule="auto"/>
        <w:jc w:val="both"/>
      </w:pPr>
      <w:r>
        <w:rPr>
          <w:rFonts w:ascii="Arial" w:cs="Arial" w:eastAsia="Arial" w:hAnsi="Arial"/>
          <w:b w:val="false"/>
          <w:bCs w:val="false"/>
          <w:i w:val="false"/>
          <w:iCs w:val="false"/>
          <w:sz w:val="24"/>
          <w:szCs w:val="24"/>
        </w:rPr>
        <w:t xml:space="preserve">O diagrama da Figura 1 evidencia a topologia característica do esquema estrela: a tabela fato dw.fact_sales posicionada no centro, cercada pelas sete dimensões diretamente relacionadas a ela por meio de chaves substitutas (surrogate keys). O arquivo-fonte do diagrama também está disponível em formato PlantUML (diagrams/star_schema.puml) no repositório do projeto, permitindo sua regeneração ou edição por outras ferramentas compatíveis com a notação Entity-Relationship do PlantUML.</w:t>
      </w:r>
    </w:p>
    <w:p>
      <w:pPr>
        <w:spacing w:after="0" w:before="240" w:line="240" w:lineRule="auto"/>
        <w:jc w:val="left"/>
      </w:pPr>
      <w:r>
        <w:rPr>
          <w:rFonts w:ascii="Arial" w:cs="Arial" w:eastAsia="Arial" w:hAnsi="Arial"/>
          <w:b w:val="false"/>
          <w:bCs w:val="false"/>
          <w:sz w:val="24"/>
          <w:szCs w:val="24"/>
        </w:rPr>
        <w:t xml:space="preserve">3.5 DICIONÁRIO DE DADOS DO DATA WAREHOUSE</w:t>
      </w:r>
    </w:p>
    <w:p>
      <w:pPr>
        <w:spacing w:after="120" w:before="0" w:line="240" w:lineRule="auto"/>
        <w:jc w:val="both"/>
      </w:pPr>
      <w:r>
        <w:rPr>
          <w:rFonts w:ascii="Arial" w:cs="Arial" w:eastAsia="Arial" w:hAnsi="Arial"/>
          <w:b w:val="false"/>
          <w:bCs w:val="false"/>
          <w:i w:val="false"/>
          <w:iCs w:val="false"/>
          <w:sz w:val="24"/>
          <w:szCs w:val="24"/>
        </w:rPr>
        <w:t xml:space="preserve">O Quadro 2 apresenta o dicionário de dados da tabela fato dw.fact_sales.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0"/>
      </w:tblGrid>
      <w:tr>
        <w:trPr>
          <w:tblHeader/>
        </w:trPr>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Coluna</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Tipo</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Descrição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sales_key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bigserial (PK)</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Chave substituta do fato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order_date_key / ship_date_key / due_date_key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dim_date)</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Datas de pedido, envio e vencimento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customer_key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dim_customer)</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Cliente vigente na venda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product_key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dim_product)</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Produto vigente na venda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salesperson_key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dim_salesperson)</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Vendedor responsável</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territory_key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dim_territory)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Território de venda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promotion_key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dim_promotion)</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Promoção aplicada</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ship_method_key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 (FK dim_ship_method)</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Modal de envio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sales_order_number / sales_order_line_number</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varchar / smallint</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Dimensões degeneradas (rastreabilidade)</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sales_order_detail_id</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int</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Chave natural da origem (idempotência no upsert)</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order_qty, unit_price, unit_price_discount, discount_amount, line_total, standard_cost, tax_amt, freight</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numeric</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Medidas aditivas do fato</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source_modified_date / dw_load_timestamp</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timestamp</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Auditoria de origem e de carga</w:t>
            </w:r>
          </w:p>
        </w:tc>
      </w:tr>
    </w:tbl>
    <w:p>
      <w:pPr>
        <w:spacing w:after="0" w:before="0" w:line="240" w:lineRule="auto"/>
      </w:pPr>
      <w:r>
        <w:rPr>
          <w:rFonts w:ascii="Arial" w:cs="Arial" w:eastAsia="Arial" w:hAnsi="Arial"/>
          <w:sz w:val="24"/>
          <w:szCs w:val="24"/>
        </w:rPr>
        <w:t xml:space="preserve"/>
      </w:r>
    </w:p>
    <w:p>
      <w:pPr>
        <w:spacing w:after="120" w:before="0" w:line="240" w:lineRule="auto"/>
        <w:jc w:val="both"/>
      </w:pPr>
      <w:r>
        <w:rPr>
          <w:rFonts w:ascii="Arial" w:cs="Arial" w:eastAsia="Arial" w:hAnsi="Arial"/>
          <w:b w:val="false"/>
          <w:bCs w:val="false"/>
          <w:i w:val="false"/>
          <w:iCs w:val="false"/>
          <w:sz w:val="24"/>
          <w:szCs w:val="24"/>
        </w:rPr>
        <w:t xml:space="preserve">O Quadro 3 sintetiza as dimensões do modelo, seu tipo de SCD e principais atributos.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500"/>
      </w:tblGrid>
      <w:tr>
        <w:trPr>
          <w:tblHeader/>
        </w:trPr>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Dimensão</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Tipo SCD</w:t>
            </w:r>
          </w:p>
        </w:tc>
        <w:tc>
          <w:tcPr>
            <w:shd w:fill="003B53" w:val="clear"/>
            <w:tcMar>
              <w:top w:type="dxa" w:w="60"/>
              <w:left w:type="dxa" w:w="100"/>
              <w:bottom w:type="dxa" w:w="60"/>
              <w:right w:type="dxa" w:w="100"/>
            </w:tcMar>
            <w:vAlign w:val="center"/>
          </w:tcPr>
          <w:p>
            <w:pPr>
              <w:spacing w:after="0" w:before="0" w:line="240" w:lineRule="auto"/>
            </w:pPr>
            <w:r>
              <w:rPr>
                <w:rFonts w:ascii="Arial" w:cs="Arial" w:eastAsia="Arial" w:hAnsi="Arial"/>
                <w:b/>
                <w:bCs/>
                <w:color w:val="FFFFFF"/>
                <w:sz w:val="20"/>
                <w:szCs w:val="20"/>
              </w:rPr>
              <w:t xml:space="preserve">Principais atributos</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dim_date</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0 (estática)</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full_date, day_name, month_name, quarter, year, fiscal_year</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dim_customer</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2</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customer_name, customer_type, city, state_province, country_region</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dim_product</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2</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product_name, color, size, subcategory_name, category_name, standard_cost, list_price</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dim_salesperson</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2</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full_name, job_title</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dim_territory</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1</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territory_name, country_region_code, territory_group</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dim_promotion</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1</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description, discount_pct, promotion_type, promotion_category</w:t>
            </w:r>
          </w:p>
        </w:tc>
      </w:tr>
      <w:tr>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dim_ship_method</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1</w:t>
            </w:r>
          </w:p>
        </w:tc>
        <w:tc>
          <w:tcPr>
            <w:tcMar>
              <w:top w:type="dxa" w:w="60"/>
              <w:left w:type="dxa" w:w="100"/>
              <w:bottom w:type="dxa" w:w="60"/>
              <w:right w:type="dxa" w:w="100"/>
            </w:tcMar>
            <w:vAlign w:val="center"/>
          </w:tcPr>
          <w:p>
            <w:pPr>
              <w:spacing w:after="0" w:before="0" w:line="240" w:lineRule="auto"/>
            </w:pPr>
            <w:r>
              <w:rPr>
                <w:rFonts w:ascii="Arial" w:cs="Arial" w:eastAsia="Arial" w:hAnsi="Arial"/>
                <w:sz w:val="20"/>
                <w:szCs w:val="20"/>
              </w:rPr>
              <w:t xml:space="preserve">name, ship_base, ship_rate</w:t>
            </w:r>
          </w:p>
        </w:tc>
      </w:tr>
    </w:tbl>
    <w:p>
      <w:pPr>
        <w:spacing w:after="240" w:before="0" w:line="240" w:lineRule="auto"/>
        <w:jc w:val="center"/>
      </w:pPr>
      <w:r>
        <w:rPr>
          <w:rFonts w:ascii="Arial" w:cs="Arial" w:eastAsia="Arial" w:hAnsi="Arial"/>
          <w:sz w:val="20"/>
          <w:szCs w:val="20"/>
        </w:rPr>
        <w:t xml:space="preserve">Fonte: elaboração própria (2026). Dicionário completo disponível em docs/dicionario_dados.md no repositório do projeto.</w:t>
      </w:r>
    </w:p>
    <w:p>
      <w:pPr>
        <w:spacing w:after="0" w:before="240" w:line="240" w:lineRule="auto"/>
        <w:jc w:val="left"/>
      </w:pPr>
      <w:r>
        <w:rPr>
          <w:rFonts w:ascii="Arial" w:cs="Arial" w:eastAsia="Arial" w:hAnsi="Arial"/>
          <w:b w:val="false"/>
          <w:bCs w:val="false"/>
          <w:sz w:val="24"/>
          <w:szCs w:val="24"/>
        </w:rPr>
        <w:t xml:space="preserve">3.6 ESTRATÉGIA DE ETL INCREMENTAL ADOTADA</w:t>
      </w:r>
    </w:p>
    <w:p>
      <w:pPr>
        <w:spacing w:after="120" w:before="0" w:line="240" w:lineRule="auto"/>
        <w:jc w:val="both"/>
      </w:pPr>
      <w:r>
        <w:rPr>
          <w:rFonts w:ascii="Arial" w:cs="Arial" w:eastAsia="Arial" w:hAnsi="Arial"/>
          <w:b w:val="false"/>
          <w:bCs w:val="false"/>
          <w:i w:val="false"/>
          <w:iCs w:val="false"/>
          <w:sz w:val="24"/>
          <w:szCs w:val="24"/>
        </w:rPr>
        <w:t xml:space="preserve">A rotina de ETL foi desenvolvida em Python, utilizando as bibliotecas SQLAlchemy (conexão com os bancos de origem e destino), pandas (manipulação tabular intermediária) e psycopg2/pyodbc (drivers de PostgreSQL e SQL Server, respectivamente). O processo é orquestrado pelo script etl/etl_incremental.py e organiza-se em três etapas sequenciais, descritas a seguir.</w:t>
      </w:r>
    </w:p>
    <w:p>
      <w:pPr>
        <w:spacing w:after="0" w:before="240" w:line="240" w:lineRule="auto"/>
        <w:jc w:val="left"/>
      </w:pPr>
      <w:r>
        <w:rPr>
          <w:rFonts w:ascii="Arial" w:cs="Arial" w:eastAsia="Arial" w:hAnsi="Arial"/>
          <w:b/>
          <w:bCs/>
          <w:sz w:val="24"/>
          <w:szCs w:val="24"/>
        </w:rPr>
        <w:t xml:space="preserve">3.6.1 Extração incremental para staging</w:t>
      </w:r>
    </w:p>
    <w:p>
      <w:pPr>
        <w:spacing w:after="120" w:before="0" w:line="240" w:lineRule="auto"/>
        <w:jc w:val="both"/>
      </w:pPr>
      <w:r>
        <w:rPr>
          <w:rFonts w:ascii="Arial" w:cs="Arial" w:eastAsia="Arial" w:hAnsi="Arial"/>
          <w:b w:val="false"/>
          <w:bCs w:val="false"/>
          <w:i w:val="false"/>
          <w:iCs w:val="false"/>
          <w:sz w:val="24"/>
          <w:szCs w:val="24"/>
        </w:rPr>
        <w:t xml:space="preserve">Para cada tabela de origem relevante (Customer, Product, SalesPerson, SalesTerritory, SpecialOffer, ShipMethod e SalesOrderDetail), a rotina consulta a tabela de controle ctrl.etl_watermark para obter o timestamp da última extração bem-sucedida. A consulta de extração filtra os registros cujo campo ModifiedDate seja posterior a esse watermark (WHERE ModifiedDate &gt; :watermark) e grava o resultado na área de staging (schema stg), que é truncada e repovoada a cada execução. Ao final da extração, o maior ModifiedDate observado no lote é registrado como candidato a novo watermark, mas só é efetivamente promovido após a carga bem-sucedida das etapas seguintes.</w:t>
      </w:r>
    </w:p>
    <w:p>
      <w:pPr>
        <w:spacing w:after="0" w:before="240" w:line="240" w:lineRule="auto"/>
        <w:jc w:val="left"/>
      </w:pPr>
      <w:r>
        <w:rPr>
          <w:rFonts w:ascii="Arial" w:cs="Arial" w:eastAsia="Arial" w:hAnsi="Arial"/>
          <w:b/>
          <w:bCs/>
          <w:sz w:val="24"/>
          <w:szCs w:val="24"/>
        </w:rPr>
        <w:t xml:space="preserve">3.6.2 Carga das dimensões (SCD tipo 1 e tipo 2)</w:t>
      </w:r>
    </w:p>
    <w:p>
      <w:pPr>
        <w:spacing w:after="120" w:before="0" w:line="240" w:lineRule="auto"/>
        <w:jc w:val="both"/>
      </w:pPr>
      <w:r>
        <w:rPr>
          <w:rFonts w:ascii="Arial" w:cs="Arial" w:eastAsia="Arial" w:hAnsi="Arial"/>
          <w:b w:val="false"/>
          <w:bCs w:val="false"/>
          <w:i w:val="false"/>
          <w:iCs w:val="false"/>
          <w:sz w:val="24"/>
          <w:szCs w:val="24"/>
        </w:rPr>
        <w:t xml:space="preserve">As dimensões de baixa volatilidade (território, promoção e método de envio) são carregadas por meio de UPSERT simples (INSERT ... ON CONFLICT ... DO UPDATE), sobrescrevendo os atributos da chave natural correspondente — comportamento característico de SCD Tipo 1. Já as dimensões de cliente, produto e vendedor são carregadas por uma rotina de SCD Tipo 2: para cada registro em staging, calcula-se um hash MD5 dos atributos rastreados; caso não exista versão vigente para aquela chave natural, uma nova linha é inserida; caso exista, mas o hash tenha mudado, a versão vigente é expirada (end_date = data atual, is_current = falso) e uma nova versão é inserida com effective_date igual à data da execução. Esse mecanismo preserva integralmente o histórico de mudanças relevantes para fins analíticos.</w:t>
      </w:r>
    </w:p>
    <w:p>
      <w:pPr>
        <w:spacing w:after="0" w:before="240" w:line="240" w:lineRule="auto"/>
        <w:jc w:val="left"/>
      </w:pPr>
      <w:r>
        <w:rPr>
          <w:rFonts w:ascii="Arial" w:cs="Arial" w:eastAsia="Arial" w:hAnsi="Arial"/>
          <w:b/>
          <w:bCs/>
          <w:sz w:val="24"/>
          <w:szCs w:val="24"/>
        </w:rPr>
        <w:t xml:space="preserve">3.6.3 Carga do fato por upsert idempotente</w:t>
      </w:r>
    </w:p>
    <w:p>
      <w:pPr>
        <w:spacing w:after="120" w:before="0" w:line="240" w:lineRule="auto"/>
        <w:jc w:val="both"/>
      </w:pPr>
      <w:r>
        <w:rPr>
          <w:rFonts w:ascii="Arial" w:cs="Arial" w:eastAsia="Arial" w:hAnsi="Arial"/>
          <w:b w:val="false"/>
          <w:bCs w:val="false"/>
          <w:i w:val="false"/>
          <w:iCs w:val="false"/>
          <w:sz w:val="24"/>
          <w:szCs w:val="24"/>
        </w:rPr>
        <w:t xml:space="preserve">A carga da tabela dw.fact_sales é realizada por meio de um INSERT ... ON CONFLICT (sales_order_detail_id) DO UPDATE, utilizando a chave natural da linha do pedido de origem como critério de conflito. Essa abordagem garante idempotência: caso a ETL seja reexecutada sobre o mesmo intervalo de dados — por exemplo, após uma falha e novo processamento —, os registros já existentes são atualizados, e não duplicados. Durante a carga, cada linha do fato é associada às chaves substitutas vigentes das dimensões correspondentes, resolvidas por meio de sub-consultas filtradas por is_current = verdadeiro; caso alguma dimensão não seja localizada (por exemplo, um cliente ainda não sincronizado), utiliza-se a chave -1, correspondente à linha "desconhecida" (unknown member) de cada dimensão, o que preserva a integridade referencial do modelo mesmo diante de inconsistências temporárias na origem.</w:t>
      </w:r>
    </w:p>
    <w:p>
      <w:pPr>
        <w:spacing w:after="120" w:before="0" w:line="240" w:lineRule="auto"/>
        <w:jc w:val="both"/>
      </w:pPr>
      <w:r>
        <w:rPr>
          <w:rFonts w:ascii="Arial" w:cs="Arial" w:eastAsia="Arial" w:hAnsi="Arial"/>
          <w:b w:val="false"/>
          <w:bCs w:val="false"/>
          <w:i w:val="false"/>
          <w:iCs w:val="false"/>
          <w:sz w:val="24"/>
          <w:szCs w:val="24"/>
        </w:rPr>
        <w:t xml:space="preserve">Ao término de todas as etapas, o watermark de cada tabela de origem é avançado apenas se a carga correspondente tiver sido concluída com sucesso, e cada etapa é registrada na tabela ctrl.etl_log, com informações de linhas processadas, status e timestamps, permitindo auditoria e monitoramento das execuções. A dimensão calendário (dw.dim_date), por não sofrer alterações a partir da origem transacional, é populada uma única vez por meio de um script auxiliar (etl/load_dim_date.py), cobrindo todo o horizonte temporal de dados esperado.</w:t>
      </w:r>
    </w:p>
    <w:p>
      <w:pPr>
        <w:spacing w:after="120" w:before="0" w:line="240" w:lineRule="auto"/>
        <w:jc w:val="both"/>
      </w:pPr>
      <w:r>
        <w:rPr>
          <w:rFonts w:ascii="Arial" w:cs="Arial" w:eastAsia="Arial" w:hAnsi="Arial"/>
          <w:b w:val="false"/>
          <w:bCs w:val="false"/>
          <w:i w:val="false"/>
          <w:iCs w:val="false"/>
          <w:sz w:val="24"/>
          <w:szCs w:val="24"/>
        </w:rPr>
        <w:t xml:space="preserve">Em ambiente produtivo, a execução do script etl_incremental.py pode ser agendada de forma periódica (por exemplo, via cron ou um orquestrador como Apache Airflow), garantindo que o Data Warehouse permaneça atualizado com baixa latência e custo computacional reduzido em relação a uma estratégia de carga completa.</w:t>
      </w:r>
    </w:p>
    <w:p>
      <w:pPr>
        <w:spacing w:after="0" w:before="240" w:line="240" w:lineRule="auto"/>
        <w:jc w:val="left"/>
      </w:pPr>
      <w:r>
        <w:rPr>
          <w:rFonts w:ascii="Arial" w:cs="Arial" w:eastAsia="Arial" w:hAnsi="Arial"/>
          <w:b w:val="false"/>
          <w:bCs w:val="false"/>
          <w:sz w:val="24"/>
          <w:szCs w:val="24"/>
        </w:rPr>
        <w:t xml:space="preserve">3.7 JUSTIFICATIVA DAS DECISÕES DE MODELAGEM</w:t>
      </w:r>
    </w:p>
    <w:p>
      <w:pPr>
        <w:spacing w:after="120" w:before="0" w:line="240" w:lineRule="auto"/>
        <w:jc w:val="both"/>
      </w:pPr>
      <w:r>
        <w:rPr>
          <w:rFonts w:ascii="Arial" w:cs="Arial" w:eastAsia="Arial" w:hAnsi="Arial"/>
          <w:b w:val="false"/>
          <w:bCs w:val="false"/>
          <w:i w:val="false"/>
          <w:iCs w:val="false"/>
          <w:sz w:val="24"/>
          <w:szCs w:val="24"/>
        </w:rPr>
        <w:t xml:space="preserve">A escolha do grão no nível de item de pedido (e não no nível de pedido) foi motivada pela necessidade de sustentar indicadores que dependem de atributos específicos de cada produto vendido, como a margem de lucro por categoria (indicador 4) e o ranking de produtos mais vendidos (indicador 7); um grão mais grosseiro, no nível do pedido, inviabilizaria essas análises sem re-consultar a origem.</w:t>
      </w:r>
    </w:p>
    <w:p>
      <w:pPr>
        <w:spacing w:after="120" w:before="0" w:line="240" w:lineRule="auto"/>
        <w:jc w:val="both"/>
      </w:pPr>
      <w:r>
        <w:rPr>
          <w:rFonts w:ascii="Arial" w:cs="Arial" w:eastAsia="Arial" w:hAnsi="Arial"/>
          <w:b w:val="false"/>
          <w:bCs w:val="false"/>
          <w:i w:val="false"/>
          <w:iCs w:val="false"/>
          <w:sz w:val="24"/>
          <w:szCs w:val="24"/>
        </w:rPr>
        <w:t xml:space="preserve">A adoção de SCD Tipo 2 para as dimensões de cliente, produto e vendedor decorre diretamente da necessidade de precisão histórica nas análises: caso um produto mude de categoria ou um cliente mude de cidade, uma abordagem SCD Tipo 1 atribuiria retroativamente o novo atributo a vendas antigas, distorcendo indicadores históricos como a margem por categoria (indicador 4) e as vendas por território de cliente. Já as dimensões de território, promoção e método de envio foram tratadas como SCD Tipo 1 por representarem atributos administrativos de baixa frequência de alteração, para os quais o custo adicional de manter histórico não se justifica.</w:t>
      </w:r>
    </w:p>
    <w:p>
      <w:pPr>
        <w:spacing w:after="120" w:before="0" w:line="240" w:lineRule="auto"/>
        <w:jc w:val="both"/>
      </w:pPr>
      <w:r>
        <w:rPr>
          <w:rFonts w:ascii="Arial" w:cs="Arial" w:eastAsia="Arial" w:hAnsi="Arial"/>
          <w:b w:val="false"/>
          <w:bCs w:val="false"/>
          <w:i w:val="false"/>
          <w:iCs w:val="false"/>
          <w:sz w:val="24"/>
          <w:szCs w:val="24"/>
        </w:rPr>
        <w:t xml:space="preserve">A modelagem de dim_date como dimensão de papéis múltiplos (role-playing dimension), reutilizada três vezes na tabela fato (order_date_key, ship_date_key e due_date_key), evita a duplicação de uma dimensão de calendário para cada contexto temporal, seguindo recomendação consolidada na literatura de modelagem dimensional (Kimball; Ross, 2013), e viabiliza diretamente o cálculo do indicador de lead time de envio (indicador 10), que depende da diferença entre duas datas do mesmo fato.</w:t>
      </w:r>
    </w:p>
    <w:p>
      <w:pPr>
        <w:spacing w:after="120" w:before="0" w:line="240" w:lineRule="auto"/>
        <w:jc w:val="both"/>
      </w:pPr>
      <w:r>
        <w:rPr>
          <w:rFonts w:ascii="Arial" w:cs="Arial" w:eastAsia="Arial" w:hAnsi="Arial"/>
          <w:b w:val="false"/>
          <w:bCs w:val="false"/>
          <w:i w:val="false"/>
          <w:iCs w:val="false"/>
          <w:sz w:val="24"/>
          <w:szCs w:val="24"/>
        </w:rPr>
        <w:t xml:space="preserve">A manutenção das dimensões degeneradas sales_order_number e sales_order_line_number diretamente na tabela fato, em vez de uma dimensão de pedido separada, justifica-se por esses atributos não possuírem outros dados descritivos além do próprio identificador — qualquer atributo do pedido (cliente, data, vendedor) já está representado por outra dimensão ou pela própria granularidade do fato —, evitando a criação de uma dimensão artificial sem valor analítico adicional.</w:t>
      </w:r>
    </w:p>
    <w:p>
      <w:pPr>
        <w:spacing w:after="120" w:before="0" w:line="240" w:lineRule="auto"/>
        <w:jc w:val="both"/>
      </w:pPr>
      <w:r>
        <w:rPr>
          <w:rFonts w:ascii="Arial" w:cs="Arial" w:eastAsia="Arial" w:hAnsi="Arial"/>
          <w:b w:val="false"/>
          <w:bCs w:val="false"/>
          <w:i w:val="false"/>
          <w:iCs w:val="false"/>
          <w:sz w:val="24"/>
          <w:szCs w:val="24"/>
        </w:rPr>
        <w:t xml:space="preserve">Por fim, o uso de chaves substitutas inteiras, geradas no próprio Data Warehouse, em lugar das chaves naturais da origem, desacopla o modelo dimensional de eventuais mudanças estruturais no sistema OLTP de origem e é o mecanismo que viabiliza tecnicamente a manutenção de múltiplas versões históricas nas dimensões SCD Tipo 2, uma vez que uma mesma chave natural (por exemplo, um mesmo customer_id) passa a corresponder a múltiplas chaves substitutas ao longo do tempo.</w:t>
      </w:r>
    </w:p>
    <w:p>
      <w:pPr>
        <w:spacing w:after="0" w:before="240" w:line="240" w:lineRule="auto"/>
        <w:jc w:val="left"/>
      </w:pPr>
      <w:r>
        <w:rPr>
          <w:rFonts w:ascii="Arial" w:cs="Arial" w:eastAsia="Arial" w:hAnsi="Arial"/>
          <w:b w:val="false"/>
          <w:bCs w:val="false"/>
          <w:sz w:val="24"/>
          <w:szCs w:val="24"/>
        </w:rPr>
        <w:t xml:space="preserve">3.8 IMPLEMENTAÇÃO NO POSTGRESQL E REPOSITÓRIO DO PROJETO</w:t>
      </w:r>
    </w:p>
    <w:p>
      <w:pPr>
        <w:spacing w:after="120" w:before="0" w:line="240" w:lineRule="auto"/>
        <w:jc w:val="both"/>
      </w:pPr>
      <w:r>
        <w:rPr>
          <w:rFonts w:ascii="Arial" w:cs="Arial" w:eastAsia="Arial" w:hAnsi="Arial"/>
          <w:b w:val="false"/>
          <w:bCs w:val="false"/>
          <w:i w:val="false"/>
          <w:iCs w:val="false"/>
          <w:sz w:val="24"/>
          <w:szCs w:val="24"/>
        </w:rPr>
        <w:t xml:space="preserve">O Data Warehouse foi implementado no SGBD PostgreSQL, organizado em três schemas: dw (modelo dimensional propriamente dito), stg (área de staging da ETL) e ctrl (metadados de controle de execução — watermarks e logs). O script completo de criação das estruturas (DDL) encontra-se no arquivo sql/01_ddl_dw_postgres.sql do repositório do projeto, incluindo a definição de chaves primárias, estrangeiras, índices sobre as chaves estrangeiras da tabela fato e a inserção das linhas "desconhecidas" (unknown members) de cada dimensão.</w:t>
      </w:r>
    </w:p>
    <w:p>
      <w:pPr>
        <w:spacing w:after="120" w:before="0" w:line="240" w:lineRule="auto"/>
        <w:jc w:val="both"/>
      </w:pPr>
      <w:r>
        <w:rPr>
          <w:rFonts w:ascii="Arial" w:cs="Arial" w:eastAsia="Arial" w:hAnsi="Arial"/>
          <w:b w:val="false"/>
          <w:bCs w:val="false"/>
          <w:i w:val="false"/>
          <w:iCs w:val="false"/>
          <w:sz w:val="24"/>
          <w:szCs w:val="24"/>
        </w:rPr>
        <w:t xml:space="preserve">Todo o código-fonte do projeto — scripts de ETL em Python, DDL e consultas SQL do Data Warehouse, diagrama do modelo estrela e este dicionário de dados — está organizado e versionado em um repositório Git, estruturado conforme descrito no arquivo README.md do projeto, disponível em:</w:t>
      </w:r>
    </w:p>
    <w:p>
      <w:pPr>
        <w:spacing w:after="240" w:before="0" w:line="240" w:lineRule="auto"/>
        <w:jc w:val="both"/>
      </w:pPr>
      <w:r>
        <w:rPr>
          <w:rFonts w:ascii="Arial" w:cs="Arial" w:eastAsia="Arial" w:hAnsi="Arial"/>
          <w:b/>
          <w:bCs/>
          <w:i w:val="false"/>
          <w:iCs w:val="false"/>
          <w:sz w:val="24"/>
          <w:szCs w:val="24"/>
        </w:rPr>
        <w:t xml:space="preserve">Link do repositório: </w:t>
      </w:r>
      <w:r>
        <w:rPr>
          <w:rFonts w:ascii="Arial" w:cs="Arial" w:eastAsia="Arial" w:hAnsi="Arial"/>
          <w:b w:val="false"/>
          <w:bCs w:val="false"/>
          <w:i w:val="false"/>
          <w:iCs w:val="false"/>
          <w:sz w:val="24"/>
          <w:szCs w:val="24"/>
        </w:rPr>
        <w:t xml:space="preserve">[inserir aqui a URL do repositório GitHub após a publicação, ex.: https://github.com/usuario/adventureworks-dw]</w:t>
      </w:r>
    </w:p>
    <w:p>
      <w:pPr>
        <w:spacing w:after="120" w:before="0" w:line="240" w:lineRule="auto"/>
        <w:jc w:val="both"/>
      </w:pPr>
      <w:r>
        <w:rPr>
          <w:rFonts w:ascii="Arial" w:cs="Arial" w:eastAsia="Arial" w:hAnsi="Arial"/>
          <w:b w:val="false"/>
          <w:bCs w:val="false"/>
          <w:i w:val="false"/>
          <w:iCs w:val="false"/>
          <w:sz w:val="24"/>
          <w:szCs w:val="24"/>
        </w:rPr>
        <w:t xml:space="preserve">A estrutura do repositório segue a organização: sql/ (DDL e consultas dos indicadores), etl/ (rotina de ETL incremental e script de carga da dimensão calendário), diagrams/ (diagrama do modelo estrela em PNG e PlantUML) e docs/ (dicionário de dados e este artigo).</w:t>
      </w:r>
    </w:p>
    <w:p>
      <w:pPr>
        <w:spacing w:after="0" w:before="240" w:line="240" w:lineRule="auto"/>
        <w:jc w:val="left"/>
      </w:pPr>
      <w:r>
        <w:rPr>
          <w:rFonts w:ascii="Arial" w:cs="Arial" w:eastAsia="Arial" w:hAnsi="Arial"/>
          <w:b w:val="false"/>
          <w:bCs w:val="false"/>
          <w:sz w:val="24"/>
          <w:szCs w:val="24"/>
        </w:rPr>
        <w:t xml:space="preserve">3.9 SCRIPTS SQL DE COMPROVAÇÃO DOS INDICADORES</w:t>
      </w:r>
    </w:p>
    <w:p>
      <w:pPr>
        <w:spacing w:after="120" w:before="0" w:line="240" w:lineRule="auto"/>
        <w:jc w:val="both"/>
      </w:pPr>
      <w:r>
        <w:rPr>
          <w:rFonts w:ascii="Arial" w:cs="Arial" w:eastAsia="Arial" w:hAnsi="Arial"/>
          <w:b w:val="false"/>
          <w:bCs w:val="false"/>
          <w:i w:val="false"/>
          <w:iCs w:val="false"/>
          <w:sz w:val="24"/>
          <w:szCs w:val="24"/>
        </w:rPr>
        <w:t xml:space="preserve">Para cada um dos dez indicadores definidos na seção 3.2, foi implementada uma consulta SQL correspondente sobre o schema dimensional dw, disponível na íntegra no arquivo sql/02_kpis_queries.sql do repositório do projeto. A seguir são reproduzidos, a título de comprovação, os scripts dos indicadores 1 (Receita Total de Vendas) e 4 (Margem de Lucro Bruta), representativos das medidas aditivas e semiaditivas do modelo.</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00"/>
              <w:left w:type="dxa" w:w="150"/>
              <w:bottom w:type="dxa" w:w="100"/>
              <w:right w:type="dxa" w:w="150"/>
            </w:tcMar>
          </w:tcPr>
          <w:p>
            <w:pPr>
              <w:spacing w:after="0" w:before="0" w:line="240" w:lineRule="auto"/>
            </w:pPr>
            <w:r>
              <w:rPr>
                <w:rFonts w:ascii="Courier New" w:cs="Courier New" w:eastAsia="Courier New" w:hAnsi="Courier New"/>
                <w:sz w:val="18"/>
                <w:szCs w:val="18"/>
              </w:rPr>
              <w:t xml:space="preserve">-- KPI 01 - Receita Total de Vendas</w:t>
            </w:r>
          </w:p>
          <w:p>
            <w:pPr>
              <w:spacing w:after="0" w:before="0" w:line="240" w:lineRule="auto"/>
            </w:pPr>
            <w:r>
              <w:rPr>
                <w:rFonts w:ascii="Courier New" w:cs="Courier New" w:eastAsia="Courier New" w:hAnsi="Courier New"/>
                <w:sz w:val="18"/>
                <w:szCs w:val="18"/>
              </w:rPr>
              <w:t xml:space="preserve">SELECT d.year, d.month_number, d.month_name,</w:t>
            </w:r>
          </w:p>
          <w:p>
            <w:pPr>
              <w:spacing w:after="0" w:before="0" w:line="240" w:lineRule="auto"/>
            </w:pPr>
            <w:r>
              <w:rPr>
                <w:rFonts w:ascii="Courier New" w:cs="Courier New" w:eastAsia="Courier New" w:hAnsi="Courier New"/>
                <w:sz w:val="18"/>
                <w:szCs w:val="18"/>
              </w:rPr>
              <w:t xml:space="preserve">       ROUND(SUM(f.line_total), 2) AS receita_total</w:t>
            </w:r>
          </w:p>
          <w:p>
            <w:pPr>
              <w:spacing w:after="0" w:before="0" w:line="240" w:lineRule="auto"/>
            </w:pPr>
            <w:r>
              <w:rPr>
                <w:rFonts w:ascii="Courier New" w:cs="Courier New" w:eastAsia="Courier New" w:hAnsi="Courier New"/>
                <w:sz w:val="18"/>
                <w:szCs w:val="18"/>
              </w:rPr>
              <w:t xml:space="preserve">FROM dw.fact_sales f</w:t>
            </w:r>
          </w:p>
          <w:p>
            <w:pPr>
              <w:spacing w:after="0" w:before="0" w:line="240" w:lineRule="auto"/>
            </w:pPr>
            <w:r>
              <w:rPr>
                <w:rFonts w:ascii="Courier New" w:cs="Courier New" w:eastAsia="Courier New" w:hAnsi="Courier New"/>
                <w:sz w:val="18"/>
                <w:szCs w:val="18"/>
              </w:rPr>
              <w:t xml:space="preserve">JOIN dw.dim_date d ON d.date_key = f.order_date_key</w:t>
            </w:r>
          </w:p>
          <w:p>
            <w:pPr>
              <w:spacing w:after="0" w:before="0" w:line="240" w:lineRule="auto"/>
            </w:pPr>
            <w:r>
              <w:rPr>
                <w:rFonts w:ascii="Courier New" w:cs="Courier New" w:eastAsia="Courier New" w:hAnsi="Courier New"/>
                <w:sz w:val="18"/>
                <w:szCs w:val="18"/>
              </w:rPr>
              <w:t xml:space="preserve">GROUP BY d.year, d.month_number, d.month_name</w:t>
            </w:r>
          </w:p>
          <w:p>
            <w:pPr>
              <w:spacing w:after="0" w:before="0" w:line="240" w:lineRule="auto"/>
            </w:pPr>
            <w:r>
              <w:rPr>
                <w:rFonts w:ascii="Courier New" w:cs="Courier New" w:eastAsia="Courier New" w:hAnsi="Courier New"/>
                <w:sz w:val="18"/>
                <w:szCs w:val="18"/>
              </w:rPr>
              <w:t xml:space="preserve">ORDER BY d.year, d.month_number;</w:t>
            </w:r>
          </w:p>
        </w:tc>
      </w:tr>
    </w:tbl>
    <w:p>
      <w:pPr>
        <w:spacing w:after="0" w:before="0" w:line="240" w:lineRule="auto"/>
      </w:pPr>
      <w:r>
        <w:rPr>
          <w:rFonts w:ascii="Arial" w:cs="Arial" w:eastAsia="Arial" w:hAnsi="Arial"/>
          <w:sz w:val="24"/>
          <w:szCs w:val="24"/>
        </w:rPr>
        <w:t xml:space="preserve"/>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00"/>
              <w:left w:type="dxa" w:w="150"/>
              <w:bottom w:type="dxa" w:w="100"/>
              <w:right w:type="dxa" w:w="150"/>
            </w:tcMar>
          </w:tcPr>
          <w:p>
            <w:pPr>
              <w:spacing w:after="0" w:before="0" w:line="240" w:lineRule="auto"/>
            </w:pPr>
            <w:r>
              <w:rPr>
                <w:rFonts w:ascii="Courier New" w:cs="Courier New" w:eastAsia="Courier New" w:hAnsi="Courier New"/>
                <w:sz w:val="18"/>
                <w:szCs w:val="18"/>
              </w:rPr>
              <w:t xml:space="preserve">-- KPI 04 - Margem de Lucro Bruta (%)</w:t>
            </w:r>
          </w:p>
          <w:p>
            <w:pPr>
              <w:spacing w:after="0" w:before="0" w:line="240" w:lineRule="auto"/>
            </w:pPr>
            <w:r>
              <w:rPr>
                <w:rFonts w:ascii="Courier New" w:cs="Courier New" w:eastAsia="Courier New" w:hAnsi="Courier New"/>
                <w:sz w:val="18"/>
                <w:szCs w:val="18"/>
              </w:rPr>
              <w:t xml:space="preserve">SELECT p.category_name,</w:t>
            </w:r>
          </w:p>
          <w:p>
            <w:pPr>
              <w:spacing w:after="0" w:before="0" w:line="240" w:lineRule="auto"/>
            </w:pPr>
            <w:r>
              <w:rPr>
                <w:rFonts w:ascii="Courier New" w:cs="Courier New" w:eastAsia="Courier New" w:hAnsi="Courier New"/>
                <w:sz w:val="18"/>
                <w:szCs w:val="18"/>
              </w:rPr>
              <w:t xml:space="preserve">       ROUND(SUM(f.line_total), 2) AS receita,</w:t>
            </w:r>
          </w:p>
          <w:p>
            <w:pPr>
              <w:spacing w:after="0" w:before="0" w:line="240" w:lineRule="auto"/>
            </w:pPr>
            <w:r>
              <w:rPr>
                <w:rFonts w:ascii="Courier New" w:cs="Courier New" w:eastAsia="Courier New" w:hAnsi="Courier New"/>
                <w:sz w:val="18"/>
                <w:szCs w:val="18"/>
              </w:rPr>
              <w:t xml:space="preserve">       ROUND(SUM(f.standard_cost * f.order_qty), 2) AS custo,</w:t>
            </w:r>
          </w:p>
          <w:p>
            <w:pPr>
              <w:spacing w:after="0" w:before="0" w:line="240" w:lineRule="auto"/>
            </w:pPr>
            <w:r>
              <w:rPr>
                <w:rFonts w:ascii="Courier New" w:cs="Courier New" w:eastAsia="Courier New" w:hAnsi="Courier New"/>
                <w:sz w:val="18"/>
                <w:szCs w:val="18"/>
              </w:rPr>
              <w:t xml:space="preserve">       ROUND(100.0 * SUM(f.line_total - f.standard_cost * f.order_qty)</w:t>
            </w:r>
          </w:p>
          <w:p>
            <w:pPr>
              <w:spacing w:after="0" w:before="0" w:line="240" w:lineRule="auto"/>
            </w:pPr>
            <w:r>
              <w:rPr>
                <w:rFonts w:ascii="Courier New" w:cs="Courier New" w:eastAsia="Courier New" w:hAnsi="Courier New"/>
                <w:sz w:val="18"/>
                <w:szCs w:val="18"/>
              </w:rPr>
              <w:t xml:space="preserve">             / NULLIF(SUM(f.line_total), 0), 2) AS margem_pct</w:t>
            </w:r>
          </w:p>
          <w:p>
            <w:pPr>
              <w:spacing w:after="0" w:before="0" w:line="240" w:lineRule="auto"/>
            </w:pPr>
            <w:r>
              <w:rPr>
                <w:rFonts w:ascii="Courier New" w:cs="Courier New" w:eastAsia="Courier New" w:hAnsi="Courier New"/>
                <w:sz w:val="18"/>
                <w:szCs w:val="18"/>
              </w:rPr>
              <w:t xml:space="preserve">FROM dw.fact_sales f</w:t>
            </w:r>
          </w:p>
          <w:p>
            <w:pPr>
              <w:spacing w:after="0" w:before="0" w:line="240" w:lineRule="auto"/>
            </w:pPr>
            <w:r>
              <w:rPr>
                <w:rFonts w:ascii="Courier New" w:cs="Courier New" w:eastAsia="Courier New" w:hAnsi="Courier New"/>
                <w:sz w:val="18"/>
                <w:szCs w:val="18"/>
              </w:rPr>
              <w:t xml:space="preserve">JOIN dw.dim_product p ON p.product_key = f.product_key</w:t>
            </w:r>
          </w:p>
          <w:p>
            <w:pPr>
              <w:spacing w:after="0" w:before="0" w:line="240" w:lineRule="auto"/>
            </w:pPr>
            <w:r>
              <w:rPr>
                <w:rFonts w:ascii="Courier New" w:cs="Courier New" w:eastAsia="Courier New" w:hAnsi="Courier New"/>
                <w:sz w:val="18"/>
                <w:szCs w:val="18"/>
              </w:rPr>
              <w:t xml:space="preserve">GROUP BY p.category_name</w:t>
            </w:r>
          </w:p>
          <w:p>
            <w:pPr>
              <w:spacing w:after="0" w:before="0" w:line="240" w:lineRule="auto"/>
            </w:pPr>
            <w:r>
              <w:rPr>
                <w:rFonts w:ascii="Courier New" w:cs="Courier New" w:eastAsia="Courier New" w:hAnsi="Courier New"/>
                <w:sz w:val="18"/>
                <w:szCs w:val="18"/>
              </w:rPr>
              <w:t xml:space="preserve">ORDER BY margem_pct DESC;</w:t>
            </w:r>
          </w:p>
        </w:tc>
      </w:tr>
    </w:tbl>
    <w:p>
      <w:pPr>
        <w:spacing w:after="0" w:before="0" w:line="240" w:lineRule="auto"/>
      </w:pPr>
      <w:r>
        <w:rPr>
          <w:rFonts w:ascii="Arial" w:cs="Arial" w:eastAsia="Arial" w:hAnsi="Arial"/>
          <w:sz w:val="24"/>
          <w:szCs w:val="24"/>
        </w:rPr>
        <w:t xml:space="preserve"/>
      </w:r>
    </w:p>
    <w:p>
      <w:pPr>
        <w:spacing w:after="120" w:before="0" w:line="240" w:lineRule="auto"/>
        <w:jc w:val="both"/>
      </w:pPr>
      <w:r>
        <w:rPr>
          <w:rFonts w:ascii="Arial" w:cs="Arial" w:eastAsia="Arial" w:hAnsi="Arial"/>
          <w:b w:val="false"/>
          <w:bCs w:val="false"/>
          <w:i w:val="false"/>
          <w:iCs w:val="false"/>
          <w:sz w:val="24"/>
          <w:szCs w:val="24"/>
        </w:rPr>
        <w:t xml:space="preserve">Os demais oito scripts (ticket médio, quantidade de itens, taxa de desconto média, vendas por território, top 10 produtos, desempenho por vendedor, crescimento mês a mês e lead time médio de envio) seguem a mesma lógica de agregação sobre a tabela fato dw.fact_sales combinada às dimensões correspondentes, e encontram-se documentados na íntegra no repositório do projeto, prontos para execução via psql ou qualquer cliente compatível com PostgreSQL.</w:t>
      </w:r>
    </w:p>
    <w:p>
      <w:pPr>
        <w:spacing w:after="0" w:before="240" w:line="240" w:lineRule="auto"/>
        <w:jc w:val="left"/>
      </w:pPr>
      <w:r>
        <w:rPr>
          <w:rFonts w:ascii="Arial" w:cs="Arial" w:eastAsia="Arial" w:hAnsi="Arial"/>
          <w:b/>
          <w:bCs/>
          <w:sz w:val="24"/>
          <w:szCs w:val="24"/>
        </w:rPr>
        <w:t xml:space="preserve">4 CONSIDERAÇÕES FINAIS</w:t>
      </w:r>
    </w:p>
    <w:p>
      <w:pPr>
        <w:spacing w:after="120" w:before="0" w:line="240" w:lineRule="auto"/>
        <w:jc w:val="both"/>
      </w:pPr>
      <w:r>
        <w:rPr>
          <w:rFonts w:ascii="Arial" w:cs="Arial" w:eastAsia="Arial" w:hAnsi="Arial"/>
          <w:b w:val="false"/>
          <w:bCs w:val="false"/>
          <w:i w:val="false"/>
          <w:iCs w:val="false"/>
          <w:sz w:val="24"/>
          <w:szCs w:val="24"/>
        </w:rPr>
        <w:t xml:space="preserve">Este trabalho apresentou o projeto e a implementação de um Data Warehouse dimensional para o domínio de Vendas da base AdventureWorks, partindo da avaliação crítica do modelo OLTP de origem até a construção de uma rotina de ETL incremental funcional e a implementação do modelo estrela resultante em PostgreSQL. Os resultados obtidos confirmam que o modelo transacional altamente normalizado do AdventureWorks, adequado ao registro de transações, apresenta limitações significativas para fins analíticos, as quais foram endereçadas por meio de um modelo dimensional dedicado, com sete dimensões — três delas com histórico via SCD Tipo 2 — organizadas ao redor de uma tabela fato no grão de item de pedido.</w:t>
      </w:r>
    </w:p>
    <w:p>
      <w:pPr>
        <w:spacing w:after="120" w:before="0" w:line="240" w:lineRule="auto"/>
        <w:jc w:val="both"/>
      </w:pPr>
      <w:r>
        <w:rPr>
          <w:rFonts w:ascii="Arial" w:cs="Arial" w:eastAsia="Arial" w:hAnsi="Arial"/>
          <w:b w:val="false"/>
          <w:bCs w:val="false"/>
          <w:i w:val="false"/>
          <w:iCs w:val="false"/>
          <w:sz w:val="24"/>
          <w:szCs w:val="24"/>
        </w:rPr>
        <w:t xml:space="preserve">A estratégia de ETL incremental baseada em watermarks de data de modificação, combinada a operações de UPSERT idempotentes tanto nas dimensões quanto no fato, mostrou-se adequada para viabilizar atualizações frequentes e de baixo custo computacional do Data Warehouse, sem a necessidade de reprocessar integralmente a base de origem a cada execução — característica especialmente relevante em cenários de produção com grandes volumes de dados transacionais.</w:t>
      </w:r>
    </w:p>
    <w:p>
      <w:pPr>
        <w:spacing w:after="120" w:before="0" w:line="240" w:lineRule="auto"/>
        <w:jc w:val="both"/>
      </w:pPr>
      <w:r>
        <w:rPr>
          <w:rFonts w:ascii="Arial" w:cs="Arial" w:eastAsia="Arial" w:hAnsi="Arial"/>
          <w:b w:val="false"/>
          <w:bCs w:val="false"/>
          <w:i w:val="false"/>
          <w:iCs w:val="false"/>
          <w:sz w:val="24"/>
          <w:szCs w:val="24"/>
        </w:rPr>
        <w:t xml:space="preserve">Os dez indicadores propostos, com seus respectivos scripts SQL de comprovação, demonstraram a capacidade do modelo estrela de sustentar análises de receita, rentabilidade, desempenho comercial e eficiência logística com consultas simples, de poucas junções, em contraste com a complexidade que as mesmas análises exigiriam sobre o modelo OLTP original.</w:t>
      </w:r>
    </w:p>
    <w:p>
      <w:pPr>
        <w:spacing w:after="120" w:before="0" w:line="240" w:lineRule="auto"/>
        <w:jc w:val="both"/>
      </w:pPr>
      <w:r>
        <w:rPr>
          <w:rFonts w:ascii="Arial" w:cs="Arial" w:eastAsia="Arial" w:hAnsi="Arial"/>
          <w:b w:val="false"/>
          <w:bCs w:val="false"/>
          <w:i w:val="false"/>
          <w:iCs w:val="false"/>
          <w:sz w:val="24"/>
          <w:szCs w:val="24"/>
        </w:rPr>
        <w:t xml:space="preserve">Como trabalhos futuros, sugere-se a extensão do modelo dimensional para outros domínios de negócio do AdventureWorks, como Compras (Purchasing) e Manufatura (Production/WorkOrder), a implementação de testes automatizados de qualidade de dados sobre a rotina de ETL, a substituição da abordagem de watermark por captura de dados alterados (Change Data Capture — CDC) nativa do SGBD de origem, e a construção de um painel de Business Intelligence (dashboard) consumindo diretamente os indicadores aqui definidos.</w:t>
      </w:r>
    </w:p>
    <w:p>
      <w:pPr>
        <w:spacing w:after="120" w:before="240" w:line="240" w:lineRule="auto"/>
      </w:pPr>
      <w:r>
        <w:rPr>
          <w:rFonts w:ascii="Arial" w:cs="Arial" w:eastAsia="Arial" w:hAnsi="Arial"/>
          <w:b/>
          <w:bCs/>
          <w:sz w:val="24"/>
          <w:szCs w:val="24"/>
        </w:rPr>
        <w:t xml:space="preserve">REFERÊNCIAS</w:t>
      </w:r>
    </w:p>
    <w:p>
      <w:pPr>
        <w:spacing w:after="0" w:before="0" w:line="240" w:lineRule="auto"/>
        <w:jc w:val="left"/>
      </w:pPr>
      <w:r>
        <w:rPr>
          <w:rFonts w:ascii="Arial" w:cs="Arial" w:eastAsia="Arial" w:hAnsi="Arial"/>
          <w:sz w:val="24"/>
          <w:szCs w:val="24"/>
        </w:rPr>
        <w:t xml:space="preserve">ASSOCIAÇÃO BRASILEIRA DE NORMAS TÉCNICAS. NBR 6022: informação e documentação: artigo em publicação periódica técnica e/ou científica – apresentação. Rio de Janeiro: ABNT, 2018.</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ASSOCIAÇÃO BRASILEIRA DE NORMAS TÉCNICAS. NBR 10520: informação e documentação: citações em documentos – apresentação. Rio de Janeiro: ABNT, 2023.</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CENTRO UNIVERSITÁRIO SALESIANO. Guia de elaboração e normalização de trabalhos acadêmicos e de pesquisa. 6. ed. Vitória, ES: Unisales, 2024. Disponível em: &lt;https://unisales.br/wp-content/uploads/2024/07/NOVO-GUIA-DE-ELABORACAO-E-NORMALIZACAO-DE-TRABALHOS-ACADEMICOS-E-DE-PESQUISA-29.05.pdf&gt;. Acesso em: 26 ago. 2026.</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KIMBALL, Ralph; ROSS, Margy. The data warehouse toolkit: the definitive guide to dimensional modeling. 3. ed. Indianapolis: Wiley, 2013.</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INMON, William H. Building the data warehouse. 4. ed. Indianapolis: Wiley, 2005.</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MICROSOFT. AdventureWorks installation and configuration. [S. l.]: Microsoft Learn, 2024. Disponível em: &lt;https://learn.microsoft.com/pt-br/sql/samples/adventureworks-install-configure&gt;. Acesso em: 26 ago. 2026.</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MICROSOFT. Sql-server-samples: AdventureWorks2016. [S. l.]: GitHub, 2024. Disponível em: &lt;https://github.com/Microsoft/sql-server-samples/releases/download/adventureworks/AdventureWorks2016.bak&gt;. Acesso em: 26 ago. 2026.</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POSTGRESQL GLOBAL DEVELOPMENT GROUP. PostgreSQL 16 documentation. [S. l.]: PostgreSQL, 2024. Disponível em: &lt;https://www.postgresql.org/docs/&gt;. Acesso em: 26 ago. 2026.</w:t>
      </w:r>
    </w:p>
    <w:p>
      <w:pPr>
        <w:spacing w:after="0" w:before="0" w:line="240" w:lineRule="auto"/>
      </w:pPr>
      <w:r>
        <w:rPr>
          <w:rFonts w:ascii="Arial" w:cs="Arial" w:eastAsia="Arial" w:hAnsi="Arial"/>
          <w:sz w:val="24"/>
          <w:szCs w:val="24"/>
        </w:rPr>
        <w:t xml:space="preserve"/>
      </w:r>
    </w:p>
    <w:p>
      <w:pPr>
        <w:spacing w:after="0" w:before="0" w:line="240" w:lineRule="auto"/>
        <w:jc w:val="left"/>
      </w:pPr>
      <w:r>
        <w:rPr>
          <w:rFonts w:ascii="Arial" w:cs="Arial" w:eastAsia="Arial" w:hAnsi="Arial"/>
          <w:sz w:val="24"/>
          <w:szCs w:val="24"/>
        </w:rPr>
        <w:t xml:space="preserve">STAR schema. In: WIKIPEDIA: the free encyclopedia. [San Francisco, CA]: Wikimedia Foundation, 2024. Disponível em: &lt;https://en.wikipedia.org/wiki/Star_schema&gt;. Acesso em: 26 ago. 2026.</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637f29ca138d302c36b5bbbc377c98d9641d37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2026-08-26T16:18:53.208Z</dcterms:created>
  <dcterms:modified xsi:type="dcterms:W3CDTF">2026-08-26T16:18:53.222Z</dcterms:modified>
</cp:coreProperties>
</file>

<file path=docProps/custom.xml><?xml version="1.0" encoding="utf-8"?>
<Properties xmlns="http://schemas.openxmlformats.org/officeDocument/2006/custom-properties" xmlns:vt="http://schemas.openxmlformats.org/officeDocument/2006/docPropsVTypes"/>
</file>