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2AAC5" w14:textId="6F8CF49A" w:rsidR="0019403E" w:rsidRDefault="000D3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</w:t>
      </w:r>
      <w:r w:rsidR="00F47A1B">
        <w:rPr>
          <w:rFonts w:ascii="Times New Roman" w:hAnsi="Times New Roman" w:cs="Times New Roman"/>
        </w:rPr>
        <w:t xml:space="preserve"> and Concept Selection</w:t>
      </w:r>
    </w:p>
    <w:p w14:paraId="0D90B5C1" w14:textId="43C1D6FD" w:rsidR="009B1B96" w:rsidRDefault="009B1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Gabriel Gilling – </w:t>
      </w:r>
      <w:hyperlink r:id="rId6" w:history="1">
        <w:r w:rsidRPr="00BB56DF">
          <w:rPr>
            <w:rStyle w:val="Hyperlink"/>
            <w:rFonts w:ascii="Times New Roman" w:hAnsi="Times New Roman" w:cs="Times New Roman"/>
          </w:rPr>
          <w:t>gig2106@columbia.edu</w:t>
        </w:r>
      </w:hyperlink>
    </w:p>
    <w:p w14:paraId="538F6570" w14:textId="5943E8FD" w:rsidR="000D3324" w:rsidRDefault="000D3324">
      <w:pPr>
        <w:rPr>
          <w:rFonts w:ascii="Times New Roman" w:hAnsi="Times New Roman" w:cs="Times New Roman"/>
        </w:rPr>
      </w:pPr>
    </w:p>
    <w:p w14:paraId="1D4E1B1D" w14:textId="77777777" w:rsidR="0031569C" w:rsidRDefault="0031569C">
      <w:pPr>
        <w:rPr>
          <w:rFonts w:ascii="Times New Roman" w:hAnsi="Times New Roman" w:cs="Times New Roman"/>
        </w:rPr>
      </w:pPr>
    </w:p>
    <w:p w14:paraId="30C98FF0" w14:textId="77777777" w:rsidR="00E42ECE" w:rsidRDefault="002F5436" w:rsidP="00E42ECE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thesis will attempt to investigate the democratic deficit in the European Union</w:t>
      </w:r>
      <w:r w:rsidR="00431BCC">
        <w:rPr>
          <w:rFonts w:ascii="Times New Roman" w:hAnsi="Times New Roman" w:cs="Times New Roman"/>
        </w:rPr>
        <w:t xml:space="preserve"> by correlating citizen preferences at the regional level with their elected official’s voting behavior. If I can show some degree of negative (positive) correlation, then I would be able to conclude that there is (not) a democratic deficit</w:t>
      </w:r>
      <w:r w:rsidR="00385D76">
        <w:rPr>
          <w:rFonts w:ascii="Times New Roman" w:hAnsi="Times New Roman" w:cs="Times New Roman"/>
        </w:rPr>
        <w:t xml:space="preserve">. </w:t>
      </w:r>
      <w:r w:rsidR="007A7244">
        <w:rPr>
          <w:rFonts w:ascii="Times New Roman" w:hAnsi="Times New Roman" w:cs="Times New Roman"/>
        </w:rPr>
        <w:t xml:space="preserve">Further, I am interested in applying Bayesian Modeling and Multi-level Regression and Poststratification (MRP) methods in </w:t>
      </w:r>
      <w:r w:rsidR="00FA5DAB">
        <w:rPr>
          <w:rFonts w:ascii="Times New Roman" w:hAnsi="Times New Roman" w:cs="Times New Roman"/>
        </w:rPr>
        <w:t>novel</w:t>
      </w:r>
      <w:r w:rsidR="007A7244">
        <w:rPr>
          <w:rFonts w:ascii="Times New Roman" w:hAnsi="Times New Roman" w:cs="Times New Roman"/>
        </w:rPr>
        <w:t xml:space="preserve"> settings, particularly </w:t>
      </w:r>
      <w:r w:rsidR="00FA5DAB">
        <w:rPr>
          <w:rFonts w:ascii="Times New Roman" w:hAnsi="Times New Roman" w:cs="Times New Roman"/>
        </w:rPr>
        <w:t>using</w:t>
      </w:r>
      <w:r w:rsidR="00EC74DB">
        <w:rPr>
          <w:rFonts w:ascii="Times New Roman" w:hAnsi="Times New Roman" w:cs="Times New Roman"/>
        </w:rPr>
        <w:t xml:space="preserve"> survey</w:t>
      </w:r>
      <w:r w:rsidR="00FA5DAB">
        <w:rPr>
          <w:rFonts w:ascii="Times New Roman" w:hAnsi="Times New Roman" w:cs="Times New Roman"/>
        </w:rPr>
        <w:t xml:space="preserve"> data from European countries and analyz</w:t>
      </w:r>
      <w:r w:rsidR="007C6010">
        <w:rPr>
          <w:rFonts w:ascii="Times New Roman" w:hAnsi="Times New Roman" w:cs="Times New Roman"/>
        </w:rPr>
        <w:t>ing</w:t>
      </w:r>
      <w:r w:rsidR="00FA5DAB">
        <w:rPr>
          <w:rFonts w:ascii="Times New Roman" w:hAnsi="Times New Roman" w:cs="Times New Roman"/>
        </w:rPr>
        <w:t xml:space="preserve"> representation at </w:t>
      </w:r>
      <w:r w:rsidR="007A7244">
        <w:rPr>
          <w:rFonts w:ascii="Times New Roman" w:hAnsi="Times New Roman" w:cs="Times New Roman"/>
        </w:rPr>
        <w:t>the European Union.</w:t>
      </w:r>
      <w:r w:rsidR="00C23BC9">
        <w:rPr>
          <w:rFonts w:ascii="Times New Roman" w:hAnsi="Times New Roman" w:cs="Times New Roman"/>
        </w:rPr>
        <w:t xml:space="preserve"> </w:t>
      </w:r>
    </w:p>
    <w:p w14:paraId="31E6A697" w14:textId="75EA18E2" w:rsidR="00FA5DAB" w:rsidRDefault="00C23BC9" w:rsidP="00E42ECE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also interest</w:t>
      </w:r>
      <w:r w:rsidR="00F007C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in deploying a Bayesian framework of analysis and using the Stan programming language in order to do so. </w:t>
      </w:r>
      <w:r w:rsidR="00212EF2">
        <w:rPr>
          <w:rFonts w:ascii="Times New Roman" w:hAnsi="Times New Roman" w:cs="Times New Roman"/>
        </w:rPr>
        <w:t xml:space="preserve">As its name implies, MRP revolves around multilevel (or hierarchical) regression, and </w:t>
      </w:r>
      <w:r w:rsidR="007D69F3">
        <w:rPr>
          <w:rFonts w:ascii="Times New Roman" w:hAnsi="Times New Roman" w:cs="Times New Roman"/>
        </w:rPr>
        <w:t>its</w:t>
      </w:r>
      <w:r w:rsidR="00212EF2">
        <w:rPr>
          <w:rFonts w:ascii="Times New Roman" w:hAnsi="Times New Roman" w:cs="Times New Roman"/>
        </w:rPr>
        <w:t xml:space="preserve"> performance can be improved with the inclusion of priors in the modeling phase</w:t>
      </w:r>
      <w:r w:rsidR="00212EF2">
        <w:rPr>
          <w:rStyle w:val="FootnoteReference"/>
          <w:rFonts w:ascii="Times New Roman" w:hAnsi="Times New Roman" w:cs="Times New Roman"/>
        </w:rPr>
        <w:footnoteReference w:id="1"/>
      </w:r>
      <w:r w:rsidR="00E32E2E">
        <w:rPr>
          <w:rFonts w:ascii="Times New Roman" w:hAnsi="Times New Roman" w:cs="Times New Roman"/>
        </w:rPr>
        <w:t xml:space="preserve"> - not to mention the added benefit of working with a full posterior distribution of estimated preferences, as opposed to point estimates yielded by Frequentist estimations.</w:t>
      </w:r>
    </w:p>
    <w:p w14:paraId="65A15793" w14:textId="77777777" w:rsidR="00EC74DB" w:rsidRDefault="00EC74DB" w:rsidP="00C15282">
      <w:pPr>
        <w:spacing w:line="480" w:lineRule="auto"/>
        <w:ind w:firstLine="360"/>
        <w:rPr>
          <w:rFonts w:ascii="Times New Roman" w:hAnsi="Times New Roman" w:cs="Times New Roman"/>
        </w:rPr>
      </w:pPr>
    </w:p>
    <w:p w14:paraId="057129FC" w14:textId="1C9A3203" w:rsidR="00EC74DB" w:rsidRDefault="00EC74DB" w:rsidP="007371D2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MRP is a method </w:t>
      </w:r>
      <w:r w:rsidR="00313B15">
        <w:rPr>
          <w:rFonts w:ascii="Times New Roman" w:hAnsi="Times New Roman" w:cs="Times New Roman"/>
        </w:rPr>
        <w:t>that can be used to estimate subnational (or regional) preferences using nationally representative survey data</w:t>
      </w:r>
      <w:r w:rsidR="003F37FE">
        <w:rPr>
          <w:rFonts w:ascii="Times New Roman" w:hAnsi="Times New Roman" w:cs="Times New Roman"/>
        </w:rPr>
        <w:t>, using partial pooling (random/mixed effects) to increase the accuracy of the model fit, and then using census data to post</w:t>
      </w:r>
      <w:r w:rsidR="008015C3">
        <w:rPr>
          <w:rFonts w:ascii="Times New Roman" w:hAnsi="Times New Roman" w:cs="Times New Roman"/>
        </w:rPr>
        <w:t>st</w:t>
      </w:r>
      <w:r w:rsidR="003F37FE">
        <w:rPr>
          <w:rFonts w:ascii="Times New Roman" w:hAnsi="Times New Roman" w:cs="Times New Roman"/>
        </w:rPr>
        <w:t>ratify the estimates using the actual demographic compositions of the subnational units under study</w:t>
      </w:r>
      <w:r w:rsidR="00FD4BFD">
        <w:rPr>
          <w:rStyle w:val="FootnoteReference"/>
          <w:rFonts w:ascii="Times New Roman" w:hAnsi="Times New Roman" w:cs="Times New Roman"/>
        </w:rPr>
        <w:footnoteReference w:id="2"/>
      </w:r>
      <w:r w:rsidR="00313B15">
        <w:rPr>
          <w:rFonts w:ascii="Times New Roman" w:hAnsi="Times New Roman" w:cs="Times New Roman"/>
        </w:rPr>
        <w:t xml:space="preserve">. </w:t>
      </w:r>
      <w:r w:rsidR="003F37FE">
        <w:rPr>
          <w:rFonts w:ascii="Times New Roman" w:hAnsi="Times New Roman" w:cs="Times New Roman"/>
        </w:rPr>
        <w:t xml:space="preserve">In the first stage, a </w:t>
      </w:r>
      <w:r w:rsidR="003F37FE">
        <w:rPr>
          <w:rFonts w:ascii="Times New Roman" w:hAnsi="Times New Roman" w:cs="Times New Roman"/>
        </w:rPr>
        <w:lastRenderedPageBreak/>
        <w:t xml:space="preserve">multilevel regression is fit on a survey response – for instance support for a certain policy such as abortion restriction or environment regulation, using </w:t>
      </w:r>
    </w:p>
    <w:p w14:paraId="50F5405B" w14:textId="77777777" w:rsidR="00C15282" w:rsidRDefault="00C15282" w:rsidP="00C15282">
      <w:pPr>
        <w:spacing w:line="480" w:lineRule="auto"/>
        <w:ind w:firstLine="360"/>
        <w:rPr>
          <w:rFonts w:ascii="Times New Roman" w:hAnsi="Times New Roman" w:cs="Times New Roman"/>
        </w:rPr>
      </w:pPr>
    </w:p>
    <w:p w14:paraId="59ACFE01" w14:textId="3B7C62FB" w:rsidR="005E261A" w:rsidRDefault="00FA5DAB" w:rsidP="00FA3F31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such, </w:t>
      </w:r>
      <w:r w:rsidR="00883A5E">
        <w:rPr>
          <w:rFonts w:ascii="Times New Roman" w:hAnsi="Times New Roman" w:cs="Times New Roman"/>
        </w:rPr>
        <w:t>my thesis will attempt to</w:t>
      </w:r>
      <w:r w:rsidR="00D500B8">
        <w:rPr>
          <w:rFonts w:ascii="Times New Roman" w:hAnsi="Times New Roman" w:cs="Times New Roman"/>
        </w:rPr>
        <w:t xml:space="preserve"> fill </w:t>
      </w:r>
      <w:r w:rsidR="0046714E">
        <w:rPr>
          <w:rFonts w:ascii="Times New Roman" w:hAnsi="Times New Roman" w:cs="Times New Roman"/>
        </w:rPr>
        <w:t>substantive, geographical and methodological</w:t>
      </w:r>
      <w:r w:rsidR="00D500B8">
        <w:rPr>
          <w:rFonts w:ascii="Times New Roman" w:hAnsi="Times New Roman" w:cs="Times New Roman"/>
        </w:rPr>
        <w:t xml:space="preserve"> gaps</w:t>
      </w:r>
      <w:r w:rsidR="00883A5E">
        <w:rPr>
          <w:rFonts w:ascii="Times New Roman" w:hAnsi="Times New Roman" w:cs="Times New Roman"/>
        </w:rPr>
        <w:t xml:space="preserve"> in the literature</w:t>
      </w:r>
      <w:r w:rsidR="00D500B8">
        <w:rPr>
          <w:rFonts w:ascii="Times New Roman" w:hAnsi="Times New Roman" w:cs="Times New Roman"/>
        </w:rPr>
        <w:t>.</w:t>
      </w:r>
      <w:r w:rsidR="001122AF">
        <w:rPr>
          <w:rFonts w:ascii="Times New Roman" w:hAnsi="Times New Roman" w:cs="Times New Roman"/>
        </w:rPr>
        <w:t xml:space="preserve"> </w:t>
      </w:r>
      <w:r w:rsidR="002D58EC">
        <w:rPr>
          <w:rFonts w:ascii="Times New Roman" w:hAnsi="Times New Roman" w:cs="Times New Roman"/>
        </w:rPr>
        <w:t xml:space="preserve">First, while </w:t>
      </w:r>
      <w:r w:rsidR="001122AF">
        <w:rPr>
          <w:rFonts w:ascii="Times New Roman" w:hAnsi="Times New Roman" w:cs="Times New Roman"/>
        </w:rPr>
        <w:t>MRP has been extensively used to analyze and understand voter preferences</w:t>
      </w:r>
      <w:r w:rsidR="0093652B">
        <w:rPr>
          <w:rStyle w:val="FootnoteReference"/>
          <w:rFonts w:ascii="Times New Roman" w:hAnsi="Times New Roman" w:cs="Times New Roman"/>
        </w:rPr>
        <w:footnoteReference w:id="3"/>
      </w:r>
      <w:r w:rsidR="002D58EC">
        <w:rPr>
          <w:rFonts w:ascii="Times New Roman" w:hAnsi="Times New Roman" w:cs="Times New Roman"/>
        </w:rPr>
        <w:t xml:space="preserve"> and then compare those preferences to the voting behavior of elected officials</w:t>
      </w:r>
      <w:r w:rsidR="002D58EC">
        <w:rPr>
          <w:rStyle w:val="FootnoteReference"/>
          <w:rFonts w:ascii="Times New Roman" w:hAnsi="Times New Roman" w:cs="Times New Roman"/>
        </w:rPr>
        <w:footnoteReference w:id="4"/>
      </w:r>
      <w:r w:rsidR="00D500B8">
        <w:rPr>
          <w:rFonts w:ascii="Times New Roman" w:hAnsi="Times New Roman" w:cs="Times New Roman"/>
        </w:rPr>
        <w:t xml:space="preserve"> </w:t>
      </w:r>
      <w:r w:rsidR="007565B0">
        <w:rPr>
          <w:rFonts w:ascii="Times New Roman" w:hAnsi="Times New Roman" w:cs="Times New Roman"/>
        </w:rPr>
        <w:t>or by the patterns of rulings given by federal judges</w:t>
      </w:r>
      <w:r w:rsidR="007565B0">
        <w:rPr>
          <w:rStyle w:val="FootnoteReference"/>
          <w:rFonts w:ascii="Times New Roman" w:hAnsi="Times New Roman" w:cs="Times New Roman"/>
        </w:rPr>
        <w:footnoteReference w:id="5"/>
      </w:r>
      <w:r w:rsidR="00A54CC9">
        <w:rPr>
          <w:rFonts w:ascii="Times New Roman" w:hAnsi="Times New Roman" w:cs="Times New Roman"/>
        </w:rPr>
        <w:t xml:space="preserve">, the brunt of the research has been applied to the U.S. – where </w:t>
      </w:r>
      <w:r w:rsidR="00F358B1">
        <w:rPr>
          <w:rFonts w:ascii="Times New Roman" w:hAnsi="Times New Roman" w:cs="Times New Roman"/>
        </w:rPr>
        <w:t xml:space="preserve">a common language (which simplifies polling and surveying), </w:t>
      </w:r>
      <w:r w:rsidR="00A54CC9">
        <w:rPr>
          <w:rFonts w:ascii="Times New Roman" w:hAnsi="Times New Roman" w:cs="Times New Roman"/>
        </w:rPr>
        <w:t xml:space="preserve">streamlined </w:t>
      </w:r>
      <w:r w:rsidR="00F358B1">
        <w:rPr>
          <w:rFonts w:ascii="Times New Roman" w:hAnsi="Times New Roman" w:cs="Times New Roman"/>
        </w:rPr>
        <w:t xml:space="preserve">political </w:t>
      </w:r>
      <w:r w:rsidR="00A54CC9">
        <w:rPr>
          <w:rFonts w:ascii="Times New Roman" w:hAnsi="Times New Roman" w:cs="Times New Roman"/>
        </w:rPr>
        <w:t>representation across states and congressional districts, as well as census taking, make implementing MRP relatively straightforward.</w:t>
      </w:r>
      <w:r w:rsidR="007565B0">
        <w:rPr>
          <w:rFonts w:ascii="Times New Roman" w:hAnsi="Times New Roman" w:cs="Times New Roman"/>
        </w:rPr>
        <w:t xml:space="preserve"> </w:t>
      </w:r>
      <w:r w:rsidR="00FB08F5">
        <w:rPr>
          <w:rFonts w:ascii="Times New Roman" w:hAnsi="Times New Roman" w:cs="Times New Roman"/>
        </w:rPr>
        <w:t xml:space="preserve">In Europe, </w:t>
      </w:r>
      <w:r>
        <w:rPr>
          <w:rFonts w:ascii="Times New Roman" w:hAnsi="Times New Roman" w:cs="Times New Roman"/>
        </w:rPr>
        <w:t xml:space="preserve">MRP has been used to predict </w:t>
      </w:r>
      <w:r w:rsidR="00185FBF">
        <w:rPr>
          <w:rFonts w:ascii="Times New Roman" w:hAnsi="Times New Roman" w:cs="Times New Roman"/>
        </w:rPr>
        <w:t>political</w:t>
      </w:r>
      <w:r>
        <w:rPr>
          <w:rFonts w:ascii="Times New Roman" w:hAnsi="Times New Roman" w:cs="Times New Roman"/>
        </w:rPr>
        <w:t xml:space="preserve"> outcome</w:t>
      </w:r>
      <w:r w:rsidR="00185FBF">
        <w:rPr>
          <w:rFonts w:ascii="Times New Roman" w:hAnsi="Times New Roman" w:cs="Times New Roman"/>
        </w:rPr>
        <w:t>s such as</w:t>
      </w:r>
      <w:r>
        <w:rPr>
          <w:rFonts w:ascii="Times New Roman" w:hAnsi="Times New Roman" w:cs="Times New Roman"/>
        </w:rPr>
        <w:t xml:space="preserve"> the Brexit vote</w:t>
      </w:r>
      <w:r w:rsidR="00D500B8">
        <w:rPr>
          <w:rStyle w:val="FootnoteReference"/>
          <w:rFonts w:ascii="Times New Roman" w:hAnsi="Times New Roman" w:cs="Times New Roman"/>
        </w:rPr>
        <w:footnoteReference w:id="6"/>
      </w:r>
      <w:r w:rsidR="00884CBE">
        <w:rPr>
          <w:rFonts w:ascii="Times New Roman" w:hAnsi="Times New Roman" w:cs="Times New Roman"/>
        </w:rPr>
        <w:t xml:space="preserve"> </w:t>
      </w:r>
      <w:r w:rsidR="00FB08F5">
        <w:rPr>
          <w:rFonts w:ascii="Times New Roman" w:hAnsi="Times New Roman" w:cs="Times New Roman"/>
        </w:rPr>
        <w:t>but</w:t>
      </w:r>
      <w:r w:rsidR="00884CBE">
        <w:rPr>
          <w:rFonts w:ascii="Times New Roman" w:hAnsi="Times New Roman" w:cs="Times New Roman"/>
        </w:rPr>
        <w:t xml:space="preserve"> has </w:t>
      </w:r>
      <w:r w:rsidR="00185FBF">
        <w:rPr>
          <w:rFonts w:ascii="Times New Roman" w:hAnsi="Times New Roman" w:cs="Times New Roman"/>
        </w:rPr>
        <w:t>not</w:t>
      </w:r>
      <w:r w:rsidR="00884CBE">
        <w:rPr>
          <w:rFonts w:ascii="Times New Roman" w:hAnsi="Times New Roman" w:cs="Times New Roman"/>
        </w:rPr>
        <w:t xml:space="preserve"> been used </w:t>
      </w:r>
      <w:r w:rsidR="00404322">
        <w:rPr>
          <w:rFonts w:ascii="Times New Roman" w:hAnsi="Times New Roman" w:cs="Times New Roman"/>
        </w:rPr>
        <w:t xml:space="preserve">to: 1) model </w:t>
      </w:r>
      <w:r w:rsidR="00884CBE">
        <w:rPr>
          <w:rFonts w:ascii="Times New Roman" w:hAnsi="Times New Roman" w:cs="Times New Roman"/>
        </w:rPr>
        <w:t xml:space="preserve">European </w:t>
      </w:r>
      <w:r w:rsidR="00404322">
        <w:rPr>
          <w:rFonts w:ascii="Times New Roman" w:hAnsi="Times New Roman" w:cs="Times New Roman"/>
        </w:rPr>
        <w:t xml:space="preserve">preferences </w:t>
      </w:r>
      <w:r w:rsidR="00C17AC7">
        <w:rPr>
          <w:rFonts w:ascii="Times New Roman" w:hAnsi="Times New Roman" w:cs="Times New Roman"/>
        </w:rPr>
        <w:t>using</w:t>
      </w:r>
      <w:r w:rsidR="00404322">
        <w:rPr>
          <w:rFonts w:ascii="Times New Roman" w:hAnsi="Times New Roman" w:cs="Times New Roman"/>
        </w:rPr>
        <w:t xml:space="preserve"> a Bayesian framework and 2) correlate the findings with the voting behavior of Members of the European Parliament (MEPs)</w:t>
      </w:r>
      <w:r w:rsidR="00884CBE">
        <w:rPr>
          <w:rFonts w:ascii="Times New Roman" w:hAnsi="Times New Roman" w:cs="Times New Roman"/>
        </w:rPr>
        <w:t xml:space="preserve">. </w:t>
      </w:r>
    </w:p>
    <w:p w14:paraId="496B5236" w14:textId="77777777" w:rsidR="0031569C" w:rsidRDefault="0031569C" w:rsidP="00060A34">
      <w:pPr>
        <w:spacing w:line="480" w:lineRule="auto"/>
        <w:rPr>
          <w:rFonts w:ascii="Times New Roman" w:hAnsi="Times New Roman" w:cs="Times New Roman"/>
        </w:rPr>
      </w:pPr>
    </w:p>
    <w:p w14:paraId="4EC8A697" w14:textId="0DE8258B" w:rsidR="00385D76" w:rsidRDefault="00535A77" w:rsidP="00FA3F31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has</w:t>
      </w:r>
      <w:r w:rsidR="00650657">
        <w:rPr>
          <w:rFonts w:ascii="Times New Roman" w:hAnsi="Times New Roman" w:cs="Times New Roman"/>
        </w:rPr>
        <w:t xml:space="preserve"> so far</w:t>
      </w:r>
      <w:r w:rsidR="00884CBE">
        <w:rPr>
          <w:rFonts w:ascii="Times New Roman" w:hAnsi="Times New Roman" w:cs="Times New Roman"/>
        </w:rPr>
        <w:t xml:space="preserve"> focused on assessing the quality of predictions produced by MRP by comparing </w:t>
      </w:r>
      <w:r>
        <w:rPr>
          <w:rFonts w:ascii="Times New Roman" w:hAnsi="Times New Roman" w:cs="Times New Roman"/>
        </w:rPr>
        <w:t xml:space="preserve">these </w:t>
      </w:r>
      <w:r w:rsidR="00884CBE">
        <w:rPr>
          <w:rFonts w:ascii="Times New Roman" w:hAnsi="Times New Roman" w:cs="Times New Roman"/>
        </w:rPr>
        <w:t xml:space="preserve">sub-national level </w:t>
      </w:r>
      <w:r w:rsidR="00296596">
        <w:rPr>
          <w:rFonts w:ascii="Times New Roman" w:hAnsi="Times New Roman" w:cs="Times New Roman"/>
        </w:rPr>
        <w:t xml:space="preserve">estimates with “true” </w:t>
      </w:r>
      <w:r>
        <w:rPr>
          <w:rFonts w:ascii="Times New Roman" w:hAnsi="Times New Roman" w:cs="Times New Roman"/>
        </w:rPr>
        <w:t xml:space="preserve">values </w:t>
      </w:r>
      <w:r w:rsidR="00296596">
        <w:rPr>
          <w:rFonts w:ascii="Times New Roman" w:hAnsi="Times New Roman" w:cs="Times New Roman"/>
        </w:rPr>
        <w:t>produced by the few surveys that do measure sub-national opinions</w:t>
      </w:r>
      <w:r w:rsidR="00A130A5">
        <w:rPr>
          <w:rFonts w:ascii="Times New Roman" w:hAnsi="Times New Roman" w:cs="Times New Roman"/>
        </w:rPr>
        <w:t>.</w:t>
      </w:r>
      <w:r w:rsidR="006560FC">
        <w:rPr>
          <w:rFonts w:ascii="Times New Roman" w:hAnsi="Times New Roman" w:cs="Times New Roman"/>
        </w:rPr>
        <w:t xml:space="preserve"> For instance, using Eurobarometer polling data, </w:t>
      </w:r>
      <w:proofErr w:type="spellStart"/>
      <w:r w:rsidR="006560FC">
        <w:rPr>
          <w:rFonts w:ascii="Times New Roman" w:hAnsi="Times New Roman" w:cs="Times New Roman"/>
        </w:rPr>
        <w:t>Todshov</w:t>
      </w:r>
      <w:proofErr w:type="spellEnd"/>
      <w:r w:rsidR="006560FC">
        <w:rPr>
          <w:rFonts w:ascii="Times New Roman" w:hAnsi="Times New Roman" w:cs="Times New Roman"/>
        </w:rPr>
        <w:t xml:space="preserve"> finds that MRP usually performs well in replicating “true” preferences, but that “</w:t>
      </w:r>
      <w:r w:rsidR="006560FC" w:rsidRPr="006560FC">
        <w:rPr>
          <w:rFonts w:ascii="Times New Roman" w:hAnsi="Times New Roman" w:cs="Times New Roman"/>
        </w:rPr>
        <w:t xml:space="preserve">the approach is less capable of reconstructing the relative rankings of the country means and hitting the range of </w:t>
      </w:r>
      <w:r w:rsidR="006560FC" w:rsidRPr="006560FC">
        <w:rPr>
          <w:rFonts w:ascii="Times New Roman" w:hAnsi="Times New Roman" w:cs="Times New Roman"/>
        </w:rPr>
        <w:lastRenderedPageBreak/>
        <w:t>plausible values of the individual state means</w:t>
      </w:r>
      <w:r w:rsidR="006560FC">
        <w:rPr>
          <w:rStyle w:val="FootnoteReference"/>
          <w:rFonts w:ascii="Times New Roman" w:hAnsi="Times New Roman" w:cs="Times New Roman"/>
          <w:vertAlign w:val="baseline"/>
        </w:rPr>
        <w:t>”</w:t>
      </w:r>
      <w:r w:rsidR="00D01C46">
        <w:rPr>
          <w:rStyle w:val="FootnoteReference"/>
          <w:rFonts w:ascii="Times New Roman" w:hAnsi="Times New Roman" w:cs="Times New Roman"/>
        </w:rPr>
        <w:footnoteReference w:id="7"/>
      </w:r>
      <w:r w:rsidR="00296596">
        <w:rPr>
          <w:rFonts w:ascii="Times New Roman" w:hAnsi="Times New Roman" w:cs="Times New Roman"/>
        </w:rPr>
        <w:t>.</w:t>
      </w:r>
      <w:r w:rsidR="006560FC">
        <w:rPr>
          <w:rFonts w:ascii="Times New Roman" w:hAnsi="Times New Roman" w:cs="Times New Roman"/>
        </w:rPr>
        <w:t xml:space="preserve"> He also highlights the importance of</w:t>
      </w:r>
      <w:r w:rsidR="005E261A">
        <w:rPr>
          <w:rFonts w:ascii="Times New Roman" w:hAnsi="Times New Roman" w:cs="Times New Roman"/>
        </w:rPr>
        <w:t xml:space="preserve"> including</w:t>
      </w:r>
      <w:r w:rsidR="006560FC">
        <w:rPr>
          <w:rFonts w:ascii="Times New Roman" w:hAnsi="Times New Roman" w:cs="Times New Roman"/>
        </w:rPr>
        <w:t xml:space="preserve"> country level predictors in the multilevel models.</w:t>
      </w:r>
      <w:r w:rsidR="00D225D1">
        <w:rPr>
          <w:rFonts w:ascii="Times New Roman" w:hAnsi="Times New Roman" w:cs="Times New Roman"/>
        </w:rPr>
        <w:t xml:space="preserve"> </w:t>
      </w:r>
      <w:proofErr w:type="spellStart"/>
      <w:r w:rsidR="00D225D1">
        <w:rPr>
          <w:rFonts w:ascii="Times New Roman" w:hAnsi="Times New Roman" w:cs="Times New Roman"/>
        </w:rPr>
        <w:t>Lipp</w:t>
      </w:r>
      <w:proofErr w:type="spellEnd"/>
      <w:r w:rsidR="00D225D1">
        <w:rPr>
          <w:rFonts w:ascii="Times New Roman" w:hAnsi="Times New Roman" w:cs="Times New Roman"/>
        </w:rPr>
        <w:t xml:space="preserve"> and </w:t>
      </w:r>
      <w:proofErr w:type="spellStart"/>
      <w:r w:rsidR="00D225D1">
        <w:rPr>
          <w:rFonts w:ascii="Times New Roman" w:hAnsi="Times New Roman" w:cs="Times New Roman"/>
        </w:rPr>
        <w:t>Schraff</w:t>
      </w:r>
      <w:proofErr w:type="spellEnd"/>
      <w:r w:rsidR="00D225D1">
        <w:rPr>
          <w:rFonts w:ascii="Times New Roman" w:hAnsi="Times New Roman" w:cs="Times New Roman"/>
        </w:rPr>
        <w:t xml:space="preserve"> </w:t>
      </w:r>
      <w:r w:rsidR="000563DC">
        <w:rPr>
          <w:rFonts w:ascii="Times New Roman" w:hAnsi="Times New Roman" w:cs="Times New Roman"/>
        </w:rPr>
        <w:t xml:space="preserve">conduct a similar study, this time comparing the performance of different methods and algorithms, including disaggregation, </w:t>
      </w:r>
      <w:r w:rsidR="001E6CA8">
        <w:rPr>
          <w:rFonts w:ascii="Times New Roman" w:hAnsi="Times New Roman" w:cs="Times New Roman"/>
        </w:rPr>
        <w:t xml:space="preserve">“classical” MRP, </w:t>
      </w:r>
      <w:r w:rsidR="000563DC">
        <w:rPr>
          <w:rFonts w:ascii="Times New Roman" w:hAnsi="Times New Roman" w:cs="Times New Roman"/>
        </w:rPr>
        <w:t>synthetic MRP</w:t>
      </w:r>
      <w:r w:rsidR="00B25002">
        <w:rPr>
          <w:rFonts w:ascii="Times New Roman" w:hAnsi="Times New Roman" w:cs="Times New Roman"/>
        </w:rPr>
        <w:t xml:space="preserve"> (as developed by </w:t>
      </w:r>
      <w:proofErr w:type="spellStart"/>
      <w:r w:rsidR="00B25002">
        <w:rPr>
          <w:rFonts w:ascii="Times New Roman" w:hAnsi="Times New Roman" w:cs="Times New Roman"/>
        </w:rPr>
        <w:t>Leemann</w:t>
      </w:r>
      <w:proofErr w:type="spellEnd"/>
      <w:r w:rsidR="00B25002">
        <w:rPr>
          <w:rFonts w:ascii="Times New Roman" w:hAnsi="Times New Roman" w:cs="Times New Roman"/>
        </w:rPr>
        <w:t xml:space="preserve"> and </w:t>
      </w:r>
      <w:proofErr w:type="spellStart"/>
      <w:r w:rsidR="00B25002">
        <w:rPr>
          <w:rFonts w:ascii="Times New Roman" w:hAnsi="Times New Roman" w:cs="Times New Roman"/>
        </w:rPr>
        <w:t>Westfallen</w:t>
      </w:r>
      <w:proofErr w:type="spellEnd"/>
      <w:r w:rsidR="00B25002">
        <w:rPr>
          <w:rFonts w:ascii="Times New Roman" w:hAnsi="Times New Roman" w:cs="Times New Roman"/>
        </w:rPr>
        <w:t>)</w:t>
      </w:r>
      <w:r w:rsidR="00D14B19">
        <w:rPr>
          <w:rStyle w:val="FootnoteReference"/>
          <w:rFonts w:ascii="Times New Roman" w:hAnsi="Times New Roman" w:cs="Times New Roman"/>
        </w:rPr>
        <w:footnoteReference w:id="8"/>
      </w:r>
      <w:r w:rsidR="000563DC">
        <w:rPr>
          <w:rFonts w:ascii="Times New Roman" w:hAnsi="Times New Roman" w:cs="Times New Roman"/>
        </w:rPr>
        <w:t>, and Bayesian Additive Regression Trees (BART). They conclude that synthetic MRP and BART</w:t>
      </w:r>
      <w:r w:rsidR="001E6CA8">
        <w:rPr>
          <w:rFonts w:ascii="Times New Roman" w:hAnsi="Times New Roman" w:cs="Times New Roman"/>
        </w:rPr>
        <w:t xml:space="preserve"> perform best</w:t>
      </w:r>
      <w:r w:rsidR="00D14B19">
        <w:rPr>
          <w:rStyle w:val="FootnoteReference"/>
          <w:rFonts w:ascii="Times New Roman" w:hAnsi="Times New Roman" w:cs="Times New Roman"/>
        </w:rPr>
        <w:footnoteReference w:id="9"/>
      </w:r>
      <w:r w:rsidR="00D14B19">
        <w:rPr>
          <w:rFonts w:ascii="Times New Roman" w:hAnsi="Times New Roman" w:cs="Times New Roman"/>
        </w:rPr>
        <w:t>.</w:t>
      </w:r>
      <w:r w:rsidR="001E6CA8">
        <w:rPr>
          <w:rFonts w:ascii="Times New Roman" w:hAnsi="Times New Roman" w:cs="Times New Roman"/>
        </w:rPr>
        <w:t xml:space="preserve"> However,</w:t>
      </w:r>
      <w:r w:rsidR="000A1645">
        <w:rPr>
          <w:rFonts w:ascii="Times New Roman" w:hAnsi="Times New Roman" w:cs="Times New Roman"/>
        </w:rPr>
        <w:t xml:space="preserve"> their analysis </w:t>
      </w:r>
      <w:r w:rsidR="00E917D8">
        <w:rPr>
          <w:rFonts w:ascii="Times New Roman" w:hAnsi="Times New Roman" w:cs="Times New Roman"/>
        </w:rPr>
        <w:t>relies on Frequentist point estimation, while I am interested in deriving the full posterior distribution of the estimated preferences, for instance by using the Stan programming language</w:t>
      </w:r>
      <w:r w:rsidR="00C52ADB">
        <w:rPr>
          <w:rStyle w:val="FootnoteReference"/>
          <w:rFonts w:ascii="Times New Roman" w:hAnsi="Times New Roman" w:cs="Times New Roman"/>
        </w:rPr>
        <w:footnoteReference w:id="10"/>
      </w:r>
      <w:r w:rsidR="00E917D8">
        <w:rPr>
          <w:rFonts w:ascii="Times New Roman" w:hAnsi="Times New Roman" w:cs="Times New Roman"/>
        </w:rPr>
        <w:t>.</w:t>
      </w:r>
    </w:p>
    <w:p w14:paraId="1DF4F42E" w14:textId="59484268" w:rsidR="00A67BEA" w:rsidRDefault="00A67BEA" w:rsidP="00FA3F31">
      <w:pPr>
        <w:spacing w:line="480" w:lineRule="auto"/>
        <w:ind w:firstLine="360"/>
        <w:rPr>
          <w:rFonts w:ascii="Times New Roman" w:hAnsi="Times New Roman" w:cs="Times New Roman"/>
        </w:rPr>
      </w:pPr>
    </w:p>
    <w:p w14:paraId="2DE99ED8" w14:textId="7678BB1B" w:rsidR="00F1750C" w:rsidRDefault="00F1750C" w:rsidP="00F1750C">
      <w:pPr>
        <w:spacing w:line="480" w:lineRule="auto"/>
        <w:rPr>
          <w:rFonts w:ascii="Times New Roman" w:hAnsi="Times New Roman" w:cs="Times New Roman"/>
        </w:rPr>
      </w:pPr>
    </w:p>
    <w:p w14:paraId="10AEF326" w14:textId="3D21497F" w:rsidR="00F1750C" w:rsidRDefault="00AC0B55" w:rsidP="00F1750C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conducting the preference estimation using MRP</w:t>
      </w:r>
    </w:p>
    <w:p w14:paraId="4506A45B" w14:textId="3D1E94A4" w:rsidR="00385D76" w:rsidRDefault="00385D76" w:rsidP="00FA3F31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main ways that </w:t>
      </w:r>
      <w:r>
        <w:rPr>
          <w:rFonts w:ascii="Times New Roman" w:hAnsi="Times New Roman" w:cs="Times New Roman"/>
        </w:rPr>
        <w:t>countries can send elected representatives to the 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Parliament</w:t>
      </w:r>
      <w:r>
        <w:rPr>
          <w:rFonts w:ascii="Times New Roman" w:hAnsi="Times New Roman" w:cs="Times New Roman"/>
        </w:rPr>
        <w:t>: by electing national or regional representatives</w:t>
      </w:r>
      <w:r w:rsidR="00EE6D0F">
        <w:rPr>
          <w:rStyle w:val="FootnoteReference"/>
          <w:rFonts w:ascii="Times New Roman" w:hAnsi="Times New Roman" w:cs="Times New Roman"/>
        </w:rPr>
        <w:footnoteReference w:id="11"/>
      </w:r>
      <w:r>
        <w:rPr>
          <w:rFonts w:ascii="Times New Roman" w:hAnsi="Times New Roman" w:cs="Times New Roman"/>
        </w:rPr>
        <w:t>. In the former,</w:t>
      </w:r>
      <w:r w:rsidR="00C82656">
        <w:rPr>
          <w:rFonts w:ascii="Times New Roman" w:hAnsi="Times New Roman" w:cs="Times New Roman"/>
        </w:rPr>
        <w:t xml:space="preserve"> citizens cast their votes for </w:t>
      </w:r>
      <w:r w:rsidR="00820B45">
        <w:rPr>
          <w:rFonts w:ascii="Times New Roman" w:hAnsi="Times New Roman" w:cs="Times New Roman"/>
        </w:rPr>
        <w:t>delegates representing a political party and the nationwide results are aggregated and tallied using proportional representation. In the latter</w:t>
      </w:r>
      <w:r w:rsidR="00F82582">
        <w:rPr>
          <w:rFonts w:ascii="Times New Roman" w:hAnsi="Times New Roman" w:cs="Times New Roman"/>
        </w:rPr>
        <w:t xml:space="preserve">, </w:t>
      </w:r>
      <w:r w:rsidR="00EB01AF">
        <w:rPr>
          <w:rFonts w:ascii="Times New Roman" w:hAnsi="Times New Roman" w:cs="Times New Roman"/>
        </w:rPr>
        <w:t xml:space="preserve">votes are split between electoral </w:t>
      </w:r>
      <w:r w:rsidR="00EB01AF">
        <w:rPr>
          <w:rFonts w:ascii="Times New Roman" w:hAnsi="Times New Roman" w:cs="Times New Roman"/>
        </w:rPr>
        <w:lastRenderedPageBreak/>
        <w:t xml:space="preserve">constituencies - </w:t>
      </w:r>
      <w:r w:rsidR="00F82582">
        <w:rPr>
          <w:rFonts w:ascii="Times New Roman" w:hAnsi="Times New Roman" w:cs="Times New Roman"/>
        </w:rPr>
        <w:t xml:space="preserve">voters cast ballots </w:t>
      </w:r>
      <w:r w:rsidR="00EB01AF">
        <w:rPr>
          <w:rFonts w:ascii="Times New Roman" w:hAnsi="Times New Roman" w:cs="Times New Roman"/>
        </w:rPr>
        <w:t xml:space="preserve">for political parties represented at the regional level. My work will focus on the latter case because regional representatives are officially outlined </w:t>
      </w:r>
    </w:p>
    <w:p w14:paraId="44F8842F" w14:textId="77777777" w:rsidR="00F82582" w:rsidRPr="000D3324" w:rsidRDefault="00F82582" w:rsidP="00385D76">
      <w:pPr>
        <w:ind w:firstLine="360"/>
        <w:rPr>
          <w:rFonts w:ascii="Times New Roman" w:hAnsi="Times New Roman" w:cs="Times New Roman"/>
        </w:rPr>
      </w:pPr>
    </w:p>
    <w:p w14:paraId="326B0D6F" w14:textId="2ADC1CAA" w:rsidR="000D3324" w:rsidRPr="000D3324" w:rsidRDefault="00385D76" w:rsidP="00A30C54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31BCC">
        <w:rPr>
          <w:rFonts w:ascii="Times New Roman" w:hAnsi="Times New Roman" w:cs="Times New Roman"/>
        </w:rPr>
        <w:t>First,</w:t>
      </w:r>
      <w:r w:rsidR="002F5436">
        <w:rPr>
          <w:rFonts w:ascii="Times New Roman" w:hAnsi="Times New Roman" w:cs="Times New Roman"/>
        </w:rPr>
        <w:t xml:space="preserve"> </w:t>
      </w:r>
      <w:r w:rsidR="00431BCC">
        <w:rPr>
          <w:rFonts w:ascii="Times New Roman" w:hAnsi="Times New Roman" w:cs="Times New Roman"/>
        </w:rPr>
        <w:t xml:space="preserve">I will </w:t>
      </w:r>
      <w:r w:rsidR="002F5436">
        <w:rPr>
          <w:rFonts w:ascii="Times New Roman" w:hAnsi="Times New Roman" w:cs="Times New Roman"/>
        </w:rPr>
        <w:t xml:space="preserve">assess the subnational preferences of E.U. citizens in 3 countries that have regional constituencies at the E.U. Parliament: France (before 2019), the United Kingdom (before Brexit in 2016) and Italy. </w:t>
      </w:r>
      <w:r w:rsidR="00431BCC">
        <w:rPr>
          <w:rFonts w:ascii="Times New Roman" w:hAnsi="Times New Roman" w:cs="Times New Roman"/>
        </w:rPr>
        <w:t xml:space="preserve"> </w:t>
      </w:r>
    </w:p>
    <w:sectPr w:rsidR="000D3324" w:rsidRPr="000D3324" w:rsidSect="0049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53AF5" w14:textId="77777777" w:rsidR="00F531C3" w:rsidRDefault="00F531C3" w:rsidP="00EE6D0F">
      <w:r>
        <w:separator/>
      </w:r>
    </w:p>
  </w:endnote>
  <w:endnote w:type="continuationSeparator" w:id="0">
    <w:p w14:paraId="62D73BEA" w14:textId="77777777" w:rsidR="00F531C3" w:rsidRDefault="00F531C3" w:rsidP="00EE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5F673" w14:textId="77777777" w:rsidR="00F531C3" w:rsidRDefault="00F531C3" w:rsidP="00EE6D0F">
      <w:r>
        <w:separator/>
      </w:r>
    </w:p>
  </w:footnote>
  <w:footnote w:type="continuationSeparator" w:id="0">
    <w:p w14:paraId="5BCD1351" w14:textId="77777777" w:rsidR="00F531C3" w:rsidRDefault="00F531C3" w:rsidP="00EE6D0F">
      <w:r>
        <w:continuationSeparator/>
      </w:r>
    </w:p>
  </w:footnote>
  <w:footnote w:id="1">
    <w:p w14:paraId="3EDC6471" w14:textId="116B7E76" w:rsidR="00212EF2" w:rsidRDefault="00212EF2" w:rsidP="00212EF2">
      <w:pPr>
        <w:pStyle w:val="NoSpacing"/>
      </w:pPr>
      <w:r w:rsidRPr="00B849EA">
        <w:rPr>
          <w:rStyle w:val="FootnoteReference"/>
          <w:sz w:val="20"/>
          <w:szCs w:val="20"/>
        </w:rPr>
        <w:footnoteRef/>
      </w:r>
      <w:r w:rsidRPr="00B849EA">
        <w:rPr>
          <w:sz w:val="20"/>
          <w:szCs w:val="20"/>
        </w:rPr>
        <w:t xml:space="preserve"> </w:t>
      </w:r>
      <w:r w:rsidRPr="00212EF2">
        <w:rPr>
          <w:sz w:val="20"/>
          <w:szCs w:val="20"/>
        </w:rPr>
        <w:t xml:space="preserve">Gao, Y., Kennedy, L., Simpson, D., &amp; Gelman, A. (2020). Improving Multilevel Regression and Poststratification with Structured Priors. </w:t>
      </w:r>
      <w:r w:rsidRPr="00212EF2">
        <w:rPr>
          <w:i/>
          <w:iCs/>
          <w:sz w:val="20"/>
          <w:szCs w:val="20"/>
        </w:rPr>
        <w:t>Bayesian Analysis</w:t>
      </w:r>
      <w:r w:rsidRPr="00212EF2">
        <w:rPr>
          <w:sz w:val="20"/>
          <w:szCs w:val="20"/>
        </w:rPr>
        <w:t xml:space="preserve">. https://doi.org/10.1214/20-ba1223 </w:t>
      </w:r>
    </w:p>
  </w:footnote>
  <w:footnote w:id="2">
    <w:p w14:paraId="66E0A717" w14:textId="77777777" w:rsidR="00FD4BFD" w:rsidRPr="00FD4BFD" w:rsidRDefault="00FD4BFD" w:rsidP="00FD4BFD">
      <w:pPr>
        <w:pStyle w:val="NoSpacing"/>
        <w:rPr>
          <w:sz w:val="20"/>
          <w:szCs w:val="20"/>
        </w:rPr>
      </w:pPr>
      <w:r w:rsidRPr="00FD4BFD">
        <w:rPr>
          <w:rStyle w:val="FootnoteReference"/>
          <w:sz w:val="20"/>
          <w:szCs w:val="20"/>
        </w:rPr>
        <w:footnoteRef/>
      </w:r>
      <w:r>
        <w:t xml:space="preserve"> </w:t>
      </w:r>
      <w:r w:rsidRPr="00FD4BFD">
        <w:rPr>
          <w:sz w:val="20"/>
          <w:szCs w:val="20"/>
        </w:rPr>
        <w:t xml:space="preserve">Gelman, A., &amp; Hill, J. Multilevel logistic regression. </w:t>
      </w:r>
      <w:r w:rsidRPr="00FD4BFD">
        <w:rPr>
          <w:i/>
          <w:iCs/>
          <w:sz w:val="20"/>
          <w:szCs w:val="20"/>
        </w:rPr>
        <w:t>Data Analysis Using Regression and Multilevel/Hierarchical Models</w:t>
      </w:r>
      <w:r w:rsidRPr="00FD4BFD">
        <w:rPr>
          <w:sz w:val="20"/>
          <w:szCs w:val="20"/>
        </w:rPr>
        <w:t xml:space="preserve">, 301–324. https://doi.org/10.1017/cbo9780511790942.018 </w:t>
      </w:r>
    </w:p>
    <w:p w14:paraId="4702E013" w14:textId="53770774" w:rsidR="00FD4BFD" w:rsidRDefault="00FD4BFD">
      <w:pPr>
        <w:pStyle w:val="FootnoteText"/>
      </w:pPr>
    </w:p>
  </w:footnote>
  <w:footnote w:id="3">
    <w:p w14:paraId="0A13D8D0" w14:textId="47735ACF" w:rsidR="0093652B" w:rsidRPr="005E1E9F" w:rsidRDefault="0093652B" w:rsidP="0094158F">
      <w:pPr>
        <w:pStyle w:val="NoSpacing"/>
        <w:rPr>
          <w:sz w:val="20"/>
          <w:szCs w:val="20"/>
        </w:rPr>
      </w:pPr>
      <w:r w:rsidRPr="005E1E9F">
        <w:rPr>
          <w:rStyle w:val="FootnoteReference"/>
          <w:sz w:val="20"/>
          <w:szCs w:val="20"/>
        </w:rPr>
        <w:footnoteRef/>
      </w:r>
      <w:r w:rsidRPr="005E1E9F">
        <w:rPr>
          <w:sz w:val="20"/>
          <w:szCs w:val="20"/>
        </w:rPr>
        <w:t xml:space="preserve"> </w:t>
      </w:r>
      <w:r w:rsidRPr="005E1E9F">
        <w:rPr>
          <w:sz w:val="20"/>
          <w:szCs w:val="20"/>
        </w:rPr>
        <w:t>Lax, J. R., &amp; Phillips, J. H. (2009). How Should We Estimate Public Opinion in The States?</w:t>
      </w:r>
      <w:r w:rsidR="005402A7" w:rsidRPr="005E1E9F">
        <w:rPr>
          <w:sz w:val="20"/>
          <w:szCs w:val="20"/>
        </w:rPr>
        <w:t xml:space="preserve"> </w:t>
      </w:r>
      <w:r w:rsidRPr="005E1E9F">
        <w:rPr>
          <w:i/>
          <w:iCs/>
          <w:sz w:val="20"/>
          <w:szCs w:val="20"/>
        </w:rPr>
        <w:t>American Journal of Political Science</w:t>
      </w:r>
      <w:r w:rsidRPr="005E1E9F">
        <w:rPr>
          <w:sz w:val="20"/>
          <w:szCs w:val="20"/>
        </w:rPr>
        <w:t xml:space="preserve">, 53(1), 107–121. https://doi.org/10.1111/j.1540-5907.2008.00360.x </w:t>
      </w:r>
    </w:p>
  </w:footnote>
  <w:footnote w:id="4">
    <w:p w14:paraId="1DA846D0" w14:textId="354B8C47" w:rsidR="002D58EC" w:rsidRPr="005E1E9F" w:rsidRDefault="002D58EC" w:rsidP="0094158F">
      <w:pPr>
        <w:pStyle w:val="NoSpacing"/>
        <w:rPr>
          <w:sz w:val="20"/>
          <w:szCs w:val="20"/>
        </w:rPr>
      </w:pPr>
      <w:r w:rsidRPr="005E1E9F">
        <w:rPr>
          <w:rStyle w:val="FootnoteReference"/>
          <w:sz w:val="20"/>
          <w:szCs w:val="20"/>
        </w:rPr>
        <w:footnoteRef/>
      </w:r>
      <w:r w:rsidRPr="005E1E9F">
        <w:rPr>
          <w:sz w:val="20"/>
          <w:szCs w:val="20"/>
        </w:rPr>
        <w:t xml:space="preserve"> </w:t>
      </w:r>
      <w:r w:rsidRPr="005E1E9F">
        <w:rPr>
          <w:sz w:val="20"/>
          <w:szCs w:val="20"/>
        </w:rPr>
        <w:t xml:space="preserve">Lax, J. R., Phillips, J. H., &amp; </w:t>
      </w:r>
      <w:proofErr w:type="spellStart"/>
      <w:r w:rsidRPr="005E1E9F">
        <w:rPr>
          <w:sz w:val="20"/>
          <w:szCs w:val="20"/>
        </w:rPr>
        <w:t>Zelizer</w:t>
      </w:r>
      <w:proofErr w:type="spellEnd"/>
      <w:r w:rsidRPr="005E1E9F">
        <w:rPr>
          <w:sz w:val="20"/>
          <w:szCs w:val="20"/>
        </w:rPr>
        <w:t xml:space="preserve">, A. (2019). The Party or the Purse? Unequal Representation in the US Senate. </w:t>
      </w:r>
      <w:r w:rsidRPr="005E1E9F">
        <w:rPr>
          <w:i/>
          <w:iCs/>
          <w:sz w:val="20"/>
          <w:szCs w:val="20"/>
        </w:rPr>
        <w:t>American Political Science Review</w:t>
      </w:r>
      <w:r w:rsidRPr="005E1E9F">
        <w:rPr>
          <w:sz w:val="20"/>
          <w:szCs w:val="20"/>
        </w:rPr>
        <w:t xml:space="preserve">, 113(4), 917–940. https://doi.org/10.1017/s0003055419000315 </w:t>
      </w:r>
    </w:p>
  </w:footnote>
  <w:footnote w:id="5">
    <w:p w14:paraId="1F2FF73A" w14:textId="360E5372" w:rsidR="007565B0" w:rsidRPr="005E1E9F" w:rsidRDefault="007565B0" w:rsidP="0094158F">
      <w:pPr>
        <w:pStyle w:val="NoSpacing"/>
        <w:rPr>
          <w:sz w:val="20"/>
          <w:szCs w:val="20"/>
        </w:rPr>
      </w:pPr>
      <w:r w:rsidRPr="005E1E9F">
        <w:rPr>
          <w:rStyle w:val="FootnoteReference"/>
          <w:sz w:val="20"/>
          <w:szCs w:val="20"/>
        </w:rPr>
        <w:footnoteRef/>
      </w:r>
      <w:r w:rsidRPr="005E1E9F">
        <w:rPr>
          <w:sz w:val="20"/>
          <w:szCs w:val="20"/>
        </w:rPr>
        <w:t xml:space="preserve"> </w:t>
      </w:r>
      <w:proofErr w:type="spellStart"/>
      <w:r w:rsidRPr="005E1E9F">
        <w:rPr>
          <w:sz w:val="20"/>
          <w:szCs w:val="20"/>
        </w:rPr>
        <w:t>Kastellec</w:t>
      </w:r>
      <w:proofErr w:type="spellEnd"/>
      <w:r w:rsidRPr="005E1E9F">
        <w:rPr>
          <w:sz w:val="20"/>
          <w:szCs w:val="20"/>
        </w:rPr>
        <w:t xml:space="preserve">, J. P. (2016). Judicial Federalism and Representation. </w:t>
      </w:r>
      <w:r w:rsidRPr="005E1E9F">
        <w:rPr>
          <w:i/>
          <w:iCs/>
          <w:sz w:val="20"/>
          <w:szCs w:val="20"/>
        </w:rPr>
        <w:t>SSRN Electronic Journal</w:t>
      </w:r>
      <w:r w:rsidRPr="005E1E9F">
        <w:rPr>
          <w:sz w:val="20"/>
          <w:szCs w:val="20"/>
        </w:rPr>
        <w:t xml:space="preserve">. https://doi.org/10.2139/ssrn.2794194 </w:t>
      </w:r>
    </w:p>
  </w:footnote>
  <w:footnote w:id="6">
    <w:p w14:paraId="620DE75F" w14:textId="310158F3" w:rsidR="00D500B8" w:rsidRPr="005640A6" w:rsidRDefault="00D500B8" w:rsidP="0094158F">
      <w:pPr>
        <w:pStyle w:val="NoSpacing"/>
        <w:rPr>
          <w:rFonts w:eastAsia="Times New Roman" w:cstheme="minorHAnsi"/>
        </w:rPr>
      </w:pPr>
      <w:r w:rsidRPr="005640A6">
        <w:rPr>
          <w:rStyle w:val="FootnoteReference"/>
          <w:rFonts w:cstheme="minorHAnsi"/>
          <w:sz w:val="20"/>
          <w:szCs w:val="20"/>
        </w:rPr>
        <w:footnoteRef/>
      </w:r>
      <w:r w:rsidRPr="005640A6">
        <w:rPr>
          <w:rFonts w:cstheme="minorHAnsi"/>
          <w:sz w:val="20"/>
          <w:szCs w:val="20"/>
        </w:rPr>
        <w:t xml:space="preserve"> </w:t>
      </w:r>
      <w:r w:rsidRPr="005640A6">
        <w:rPr>
          <w:rFonts w:cstheme="minorHAnsi"/>
          <w:sz w:val="20"/>
          <w:szCs w:val="20"/>
        </w:rPr>
        <w:t>Introducing the YouGov Referendum Model | YouGov n.d.</w:t>
      </w:r>
      <w:r w:rsidRPr="005640A6">
        <w:rPr>
          <w:rFonts w:cstheme="minorHAnsi"/>
          <w:sz w:val="20"/>
          <w:szCs w:val="20"/>
        </w:rPr>
        <w:t xml:space="preserve"> </w:t>
      </w:r>
      <w:hyperlink r:id="rId1" w:history="1">
        <w:r w:rsidRPr="005640A6">
          <w:rPr>
            <w:rStyle w:val="Hyperlink"/>
            <w:rFonts w:cstheme="minorHAnsi"/>
            <w:color w:val="auto"/>
            <w:sz w:val="20"/>
            <w:szCs w:val="20"/>
          </w:rPr>
          <w:t>https://yougov.co.uk/topics/politics/articles-reports/2016/06/21/yougov-referendum-model</w:t>
        </w:r>
      </w:hyperlink>
    </w:p>
  </w:footnote>
  <w:footnote w:id="7">
    <w:p w14:paraId="0CF595D8" w14:textId="6F725B27" w:rsidR="00D01C46" w:rsidRPr="005640A6" w:rsidRDefault="00D01C46" w:rsidP="00D01C46">
      <w:pPr>
        <w:rPr>
          <w:rFonts w:eastAsia="Times New Roman" w:cstheme="minorHAnsi"/>
          <w:sz w:val="20"/>
          <w:szCs w:val="20"/>
        </w:rPr>
      </w:pPr>
      <w:r w:rsidRPr="005640A6">
        <w:rPr>
          <w:rStyle w:val="FootnoteReference"/>
          <w:rFonts w:cstheme="minorHAnsi"/>
          <w:sz w:val="20"/>
          <w:szCs w:val="20"/>
        </w:rPr>
        <w:footnoteRef/>
      </w:r>
      <w:r w:rsidRPr="005640A6">
        <w:rPr>
          <w:rFonts w:cstheme="minorHAnsi"/>
          <w:sz w:val="20"/>
          <w:szCs w:val="20"/>
        </w:rPr>
        <w:t xml:space="preserve"> </w:t>
      </w:r>
      <w:proofErr w:type="spellStart"/>
      <w:r w:rsidRPr="005640A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Toshkov</w:t>
      </w:r>
      <w:proofErr w:type="spellEnd"/>
      <w:r w:rsidRPr="005640A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, D. (2015). Exploring the Performance of Multilevel Modeling and Poststratification with Eurobarometer Data. </w:t>
      </w:r>
      <w:r w:rsidRPr="005640A6">
        <w:rPr>
          <w:rFonts w:eastAsia="Times New Roman" w:cstheme="minorHAnsi"/>
          <w:i/>
          <w:iCs/>
          <w:color w:val="000000"/>
          <w:sz w:val="20"/>
          <w:szCs w:val="20"/>
          <w:shd w:val="clear" w:color="auto" w:fill="FFFFFF"/>
        </w:rPr>
        <w:t>Political Analysis,</w:t>
      </w:r>
      <w:r w:rsidRPr="005640A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 </w:t>
      </w:r>
      <w:r w:rsidRPr="005640A6">
        <w:rPr>
          <w:rFonts w:eastAsia="Times New Roman" w:cstheme="minorHAnsi"/>
          <w:i/>
          <w:iCs/>
          <w:color w:val="000000"/>
          <w:sz w:val="20"/>
          <w:szCs w:val="20"/>
          <w:shd w:val="clear" w:color="auto" w:fill="FFFFFF"/>
        </w:rPr>
        <w:t>23</w:t>
      </w:r>
      <w:r w:rsidRPr="005640A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(3), 455-460. Retrieved October 7, 2020, from http://www.jstor.org/stable/24573172</w:t>
      </w:r>
    </w:p>
  </w:footnote>
  <w:footnote w:id="8">
    <w:p w14:paraId="503E4C89" w14:textId="74BD9273" w:rsidR="00D14B19" w:rsidRPr="005640A6" w:rsidRDefault="00D14B19" w:rsidP="00D14B19">
      <w:pPr>
        <w:rPr>
          <w:rFonts w:eastAsia="Times New Roman" w:cstheme="minorHAnsi"/>
          <w:sz w:val="20"/>
          <w:szCs w:val="20"/>
        </w:rPr>
      </w:pPr>
      <w:r w:rsidRPr="005640A6">
        <w:rPr>
          <w:rStyle w:val="FootnoteReference"/>
          <w:rFonts w:cstheme="minorHAnsi"/>
          <w:sz w:val="20"/>
          <w:szCs w:val="20"/>
        </w:rPr>
        <w:footnoteRef/>
      </w:r>
      <w:r w:rsidRPr="005640A6">
        <w:rPr>
          <w:rFonts w:cstheme="minorHAnsi"/>
          <w:sz w:val="20"/>
          <w:szCs w:val="20"/>
        </w:rPr>
        <w:t xml:space="preserve"> </w:t>
      </w:r>
      <w:proofErr w:type="spellStart"/>
      <w:r w:rsidRPr="005640A6">
        <w:rPr>
          <w:rFonts w:eastAsia="Times New Roman" w:cstheme="minorHAnsi"/>
          <w:color w:val="1C1D1E"/>
          <w:sz w:val="20"/>
          <w:szCs w:val="20"/>
          <w:shd w:val="clear" w:color="auto" w:fill="FFFFFF"/>
        </w:rPr>
        <w:t>Leemann</w:t>
      </w:r>
      <w:proofErr w:type="spellEnd"/>
      <w:r w:rsidRPr="005640A6">
        <w:rPr>
          <w:rFonts w:eastAsia="Times New Roman" w:cstheme="minorHAnsi"/>
          <w:color w:val="1C1D1E"/>
          <w:sz w:val="20"/>
          <w:szCs w:val="20"/>
          <w:shd w:val="clear" w:color="auto" w:fill="FFFFFF"/>
        </w:rPr>
        <w:t xml:space="preserve">, L. and </w:t>
      </w:r>
      <w:proofErr w:type="spellStart"/>
      <w:r w:rsidRPr="005640A6">
        <w:rPr>
          <w:rFonts w:eastAsia="Times New Roman" w:cstheme="minorHAnsi"/>
          <w:color w:val="1C1D1E"/>
          <w:sz w:val="20"/>
          <w:szCs w:val="20"/>
          <w:shd w:val="clear" w:color="auto" w:fill="FFFFFF"/>
        </w:rPr>
        <w:t>Wasserfallen</w:t>
      </w:r>
      <w:proofErr w:type="spellEnd"/>
      <w:r w:rsidRPr="005640A6">
        <w:rPr>
          <w:rFonts w:eastAsia="Times New Roman" w:cstheme="minorHAnsi"/>
          <w:color w:val="1C1D1E"/>
          <w:sz w:val="20"/>
          <w:szCs w:val="20"/>
          <w:shd w:val="clear" w:color="auto" w:fill="FFFFFF"/>
        </w:rPr>
        <w:t>, F. (2017), Extending the Use and Prediction Precision of Subnational Public Opinion Estimation. American Journal of Political Science, 61: 1003-1022. doi:</w:t>
      </w:r>
      <w:hyperlink r:id="rId2" w:history="1">
        <w:r w:rsidRPr="005640A6">
          <w:rPr>
            <w:rFonts w:eastAsia="Times New Roman" w:cstheme="minorHAnsi"/>
            <w:color w:val="005274"/>
            <w:sz w:val="20"/>
            <w:szCs w:val="20"/>
            <w:u w:val="single"/>
            <w:shd w:val="clear" w:color="auto" w:fill="FFFFFF"/>
          </w:rPr>
          <w:t>10.1111/ajps.12319</w:t>
        </w:r>
      </w:hyperlink>
    </w:p>
  </w:footnote>
  <w:footnote w:id="9">
    <w:p w14:paraId="33189507" w14:textId="2956746F" w:rsidR="00D14B19" w:rsidRPr="00C031F9" w:rsidRDefault="00D14B19">
      <w:pPr>
        <w:pStyle w:val="FootnoteText"/>
      </w:pPr>
      <w:r w:rsidRPr="005640A6">
        <w:rPr>
          <w:rStyle w:val="FootnoteReference"/>
          <w:rFonts w:cstheme="minorHAnsi"/>
        </w:rPr>
        <w:footnoteRef/>
      </w:r>
      <w:r w:rsidRPr="005640A6">
        <w:rPr>
          <w:rFonts w:cstheme="minorHAnsi"/>
        </w:rPr>
        <w:t xml:space="preserve"> </w:t>
      </w:r>
      <w:proofErr w:type="spellStart"/>
      <w:r w:rsidRPr="005640A6">
        <w:rPr>
          <w:rFonts w:cstheme="minorHAnsi"/>
        </w:rPr>
        <w:t>Lipps</w:t>
      </w:r>
      <w:proofErr w:type="spellEnd"/>
      <w:r w:rsidRPr="005640A6">
        <w:rPr>
          <w:rFonts w:cstheme="minorHAnsi"/>
        </w:rPr>
        <w:t xml:space="preserve">, J., &amp; </w:t>
      </w:r>
      <w:proofErr w:type="spellStart"/>
      <w:r w:rsidRPr="005640A6">
        <w:rPr>
          <w:rFonts w:cstheme="minorHAnsi"/>
        </w:rPr>
        <w:t>Schraff</w:t>
      </w:r>
      <w:proofErr w:type="spellEnd"/>
      <w:r w:rsidRPr="005640A6">
        <w:rPr>
          <w:rFonts w:cstheme="minorHAnsi"/>
        </w:rPr>
        <w:t>, D. (2019). Estimating subnational preferences across the European Union. Political Science Research and Methods, 1-9. doi:10.1017/psrm.2019.38</w:t>
      </w:r>
    </w:p>
  </w:footnote>
  <w:footnote w:id="10">
    <w:p w14:paraId="0AFA5819" w14:textId="1681FCC6" w:rsidR="00C52ADB" w:rsidRPr="00121EBE" w:rsidRDefault="00C52ADB" w:rsidP="00C52ADB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121EBE">
        <w:rPr>
          <w:rStyle w:val="FootnoteReference"/>
          <w:rFonts w:cstheme="minorHAnsi"/>
          <w:color w:val="000000" w:themeColor="text1"/>
          <w:sz w:val="20"/>
          <w:szCs w:val="20"/>
        </w:rPr>
        <w:footnoteRef/>
      </w:r>
      <w:r w:rsidRPr="00121EBE">
        <w:rPr>
          <w:rFonts w:cstheme="minorHAnsi"/>
          <w:color w:val="000000" w:themeColor="text1"/>
          <w:sz w:val="20"/>
          <w:szCs w:val="20"/>
        </w:rPr>
        <w:t xml:space="preserve"> </w:t>
      </w:r>
      <w:r w:rsidRPr="00121E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Gelman, A., Lee, D., &amp; Guo, J. (2015). Stan: A Probabilistic Programming Language for Bayesian Inference and Optimization. </w:t>
      </w:r>
      <w:r w:rsidRPr="00121EBE">
        <w:rPr>
          <w:rFonts w:eastAsia="Times New Roman" w:cstheme="minorHAnsi"/>
          <w:i/>
          <w:iCs/>
          <w:color w:val="000000" w:themeColor="text1"/>
          <w:sz w:val="20"/>
          <w:szCs w:val="20"/>
          <w:shd w:val="clear" w:color="auto" w:fill="FFFFFF"/>
        </w:rPr>
        <w:t>Journal of Educational and Behavioral Statistics,</w:t>
      </w:r>
      <w:r w:rsidRPr="00121E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121EBE">
        <w:rPr>
          <w:rFonts w:eastAsia="Times New Roman" w:cstheme="minorHAnsi"/>
          <w:i/>
          <w:iCs/>
          <w:color w:val="000000" w:themeColor="text1"/>
          <w:sz w:val="20"/>
          <w:szCs w:val="20"/>
          <w:shd w:val="clear" w:color="auto" w:fill="FFFFFF"/>
        </w:rPr>
        <w:t>40</w:t>
      </w:r>
      <w:r w:rsidRPr="00121E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(5), 530-543. Retrieved October 7, 2020, from http://www.jstor.org/stable/43966398</w:t>
      </w:r>
    </w:p>
  </w:footnote>
  <w:footnote w:id="11">
    <w:p w14:paraId="6C1250C5" w14:textId="77777777" w:rsidR="00EE6D0F" w:rsidRPr="00121EBE" w:rsidRDefault="00EE6D0F" w:rsidP="00EE6D0F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121EBE">
        <w:rPr>
          <w:rStyle w:val="FootnoteReference"/>
          <w:rFonts w:cstheme="minorHAnsi"/>
          <w:color w:val="000000" w:themeColor="text1"/>
          <w:sz w:val="20"/>
          <w:szCs w:val="20"/>
        </w:rPr>
        <w:footnoteRef/>
      </w:r>
      <w:r w:rsidRPr="00121EBE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121E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Christofides</w:t>
      </w:r>
      <w:proofErr w:type="spellEnd"/>
      <w:r w:rsidRPr="00121E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121E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Tasos</w:t>
      </w:r>
      <w:proofErr w:type="spellEnd"/>
      <w:r w:rsidRPr="00121E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, et al. "The 2009 European Parliament elections: From votes to seats in 27 ways." </w:t>
      </w:r>
      <w:r w:rsidRPr="00121EBE">
        <w:rPr>
          <w:rFonts w:eastAsia="Times New Roman" w:cstheme="minorHAnsi"/>
          <w:i/>
          <w:iCs/>
          <w:color w:val="000000" w:themeColor="text1"/>
          <w:sz w:val="20"/>
          <w:szCs w:val="20"/>
          <w:shd w:val="clear" w:color="auto" w:fill="FFFFFF"/>
        </w:rPr>
        <w:t>European Electoral Studies</w:t>
      </w:r>
      <w:r w:rsidRPr="00121E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 5.2 (2010): 148-182.</w:t>
      </w:r>
    </w:p>
    <w:p w14:paraId="57FE01F4" w14:textId="15B18A9B" w:rsidR="00EE6D0F" w:rsidRPr="00EE6D0F" w:rsidRDefault="00EE6D0F" w:rsidP="00EE6D0F">
      <w:pPr>
        <w:rPr>
          <w:rFonts w:ascii="Times New Roman" w:eastAsia="Times New Roman" w:hAnsi="Times New Roman" w:cs="Times New Roman"/>
        </w:rPr>
      </w:pPr>
    </w:p>
    <w:p w14:paraId="379B0E97" w14:textId="469DBF63" w:rsidR="00EE6D0F" w:rsidRPr="00EE6D0F" w:rsidRDefault="00EE6D0F" w:rsidP="00EE6D0F">
      <w:pPr>
        <w:ind w:hanging="480"/>
        <w:rPr>
          <w:rFonts w:ascii="Times New Roman" w:eastAsia="Times New Roman" w:hAnsi="Times New Roman" w:cs="Times New Roman"/>
        </w:rPr>
      </w:pPr>
    </w:p>
    <w:p w14:paraId="3AE1F997" w14:textId="528B8F58" w:rsidR="00EE6D0F" w:rsidRDefault="00EE6D0F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24"/>
    <w:rsid w:val="00041C33"/>
    <w:rsid w:val="000563DC"/>
    <w:rsid w:val="00060A34"/>
    <w:rsid w:val="000A1645"/>
    <w:rsid w:val="000D3324"/>
    <w:rsid w:val="000F7503"/>
    <w:rsid w:val="001122AF"/>
    <w:rsid w:val="00121EBE"/>
    <w:rsid w:val="00185FBF"/>
    <w:rsid w:val="0019403E"/>
    <w:rsid w:val="001B22A5"/>
    <w:rsid w:val="001E6CA8"/>
    <w:rsid w:val="00212EF2"/>
    <w:rsid w:val="00296596"/>
    <w:rsid w:val="002C12C6"/>
    <w:rsid w:val="002D58EC"/>
    <w:rsid w:val="002F5436"/>
    <w:rsid w:val="00313B15"/>
    <w:rsid w:val="0031569C"/>
    <w:rsid w:val="00324F21"/>
    <w:rsid w:val="00383C7D"/>
    <w:rsid w:val="00385D76"/>
    <w:rsid w:val="003915FF"/>
    <w:rsid w:val="003D5EB3"/>
    <w:rsid w:val="003F37FE"/>
    <w:rsid w:val="00404322"/>
    <w:rsid w:val="00431BCC"/>
    <w:rsid w:val="0046714E"/>
    <w:rsid w:val="004930C8"/>
    <w:rsid w:val="00535A77"/>
    <w:rsid w:val="005402A7"/>
    <w:rsid w:val="005640A6"/>
    <w:rsid w:val="005E1E9F"/>
    <w:rsid w:val="005E261A"/>
    <w:rsid w:val="00650657"/>
    <w:rsid w:val="006560FC"/>
    <w:rsid w:val="007319BE"/>
    <w:rsid w:val="007371D2"/>
    <w:rsid w:val="007565B0"/>
    <w:rsid w:val="007A7244"/>
    <w:rsid w:val="007C6010"/>
    <w:rsid w:val="007D69F3"/>
    <w:rsid w:val="008015C3"/>
    <w:rsid w:val="00820B45"/>
    <w:rsid w:val="00883A5E"/>
    <w:rsid w:val="00884CBE"/>
    <w:rsid w:val="0093652B"/>
    <w:rsid w:val="0094158F"/>
    <w:rsid w:val="009B1B96"/>
    <w:rsid w:val="009B60BE"/>
    <w:rsid w:val="00A130A5"/>
    <w:rsid w:val="00A30C54"/>
    <w:rsid w:val="00A54CC9"/>
    <w:rsid w:val="00A67BEA"/>
    <w:rsid w:val="00A74227"/>
    <w:rsid w:val="00AC0B55"/>
    <w:rsid w:val="00B25002"/>
    <w:rsid w:val="00B849EA"/>
    <w:rsid w:val="00C031F9"/>
    <w:rsid w:val="00C15282"/>
    <w:rsid w:val="00C17AC7"/>
    <w:rsid w:val="00C23BC9"/>
    <w:rsid w:val="00C52ADB"/>
    <w:rsid w:val="00C82656"/>
    <w:rsid w:val="00C94B6A"/>
    <w:rsid w:val="00CC422B"/>
    <w:rsid w:val="00D01C46"/>
    <w:rsid w:val="00D14B19"/>
    <w:rsid w:val="00D225D1"/>
    <w:rsid w:val="00D500B8"/>
    <w:rsid w:val="00E32E2E"/>
    <w:rsid w:val="00E42ECE"/>
    <w:rsid w:val="00E917D8"/>
    <w:rsid w:val="00EB01AF"/>
    <w:rsid w:val="00EC74DB"/>
    <w:rsid w:val="00EE6D0F"/>
    <w:rsid w:val="00F007C4"/>
    <w:rsid w:val="00F1750C"/>
    <w:rsid w:val="00F358B1"/>
    <w:rsid w:val="00F47A1B"/>
    <w:rsid w:val="00F531C3"/>
    <w:rsid w:val="00F82582"/>
    <w:rsid w:val="00FA3F31"/>
    <w:rsid w:val="00FA5DAB"/>
    <w:rsid w:val="00FB08F5"/>
    <w:rsid w:val="00FD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853FA"/>
  <w15:chartTrackingRefBased/>
  <w15:docId w15:val="{191804D0-8D4A-D14D-B5A8-05D22010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E6D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D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6D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6D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B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365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2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073">
          <w:marLeft w:val="0"/>
          <w:marRight w:val="0"/>
          <w:marTop w:val="0"/>
          <w:marBottom w:val="0"/>
          <w:divBdr>
            <w:top w:val="single" w:sz="18" w:space="4" w:color="006FCA"/>
            <w:left w:val="single" w:sz="18" w:space="4" w:color="006FCA"/>
            <w:bottom w:val="single" w:sz="18" w:space="4" w:color="006FCA"/>
            <w:right w:val="single" w:sz="18" w:space="4" w:color="006FCA"/>
          </w:divBdr>
          <w:divsChild>
            <w:div w:id="492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4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4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212">
          <w:marLeft w:val="0"/>
          <w:marRight w:val="0"/>
          <w:marTop w:val="0"/>
          <w:marBottom w:val="0"/>
          <w:divBdr>
            <w:top w:val="single" w:sz="18" w:space="4" w:color="006FCA"/>
            <w:left w:val="single" w:sz="18" w:space="4" w:color="006FCA"/>
            <w:bottom w:val="single" w:sz="18" w:space="4" w:color="006FCA"/>
            <w:right w:val="single" w:sz="18" w:space="4" w:color="006FCA"/>
          </w:divBdr>
          <w:divsChild>
            <w:div w:id="788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91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g2106@columbia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10.1111/ajps.12319" TargetMode="External"/><Relationship Id="rId1" Type="http://schemas.openxmlformats.org/officeDocument/2006/relationships/hyperlink" Target="https://yougov.co.uk/topics/politics/articles-reports/2016/06/21/yougov-referendum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Gilling</dc:creator>
  <cp:keywords/>
  <dc:description/>
  <cp:lastModifiedBy>Gabriel Gilling</cp:lastModifiedBy>
  <cp:revision>72</cp:revision>
  <dcterms:created xsi:type="dcterms:W3CDTF">2020-10-06T14:05:00Z</dcterms:created>
  <dcterms:modified xsi:type="dcterms:W3CDTF">2020-10-08T01:17:00Z</dcterms:modified>
</cp:coreProperties>
</file>