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52E7E" w14:textId="3AA5499A" w:rsidR="00EB4F4C" w:rsidRDefault="00EB4F4C">
      <w:pPr>
        <w:rPr>
          <w:rStyle w:val="Hyperlink"/>
          <w:rFonts w:ascii="Times New Roman" w:hAnsi="Times New Roman" w:cs="Times New Roman"/>
        </w:rPr>
      </w:pPr>
    </w:p>
    <w:p w14:paraId="2D2B26B9" w14:textId="1E49CA0D" w:rsidR="00D72B89" w:rsidRDefault="00EB4F4C" w:rsidP="00F63539">
      <w:pPr>
        <w:jc w:val="center"/>
        <w:rPr>
          <w:rStyle w:val="Hyperlink"/>
          <w:rFonts w:ascii="Times New Roman" w:hAnsi="Times New Roman" w:cs="Times New Roman"/>
          <w:color w:val="000000" w:themeColor="text1"/>
          <w:sz w:val="48"/>
          <w:szCs w:val="48"/>
          <w:u w:val="none"/>
        </w:rPr>
      </w:pPr>
      <w:r>
        <w:rPr>
          <w:rStyle w:val="Hyperlink"/>
          <w:rFonts w:ascii="Times New Roman" w:hAnsi="Times New Roman" w:cs="Times New Roman"/>
          <w:color w:val="000000" w:themeColor="text1"/>
          <w:sz w:val="48"/>
          <w:szCs w:val="48"/>
          <w:u w:val="none"/>
        </w:rPr>
        <w:t>What Can Multilevel Regression and Poststratification Tell Us About the Democratic Deficit in the European Union</w:t>
      </w:r>
      <w:r w:rsidR="00B072D9">
        <w:rPr>
          <w:rStyle w:val="Hyperlink"/>
          <w:rFonts w:ascii="Times New Roman" w:hAnsi="Times New Roman" w:cs="Times New Roman"/>
          <w:color w:val="000000" w:themeColor="text1"/>
          <w:sz w:val="48"/>
          <w:szCs w:val="48"/>
          <w:u w:val="none"/>
        </w:rPr>
        <w:t>?</w:t>
      </w:r>
      <w:r w:rsidR="00D2213C">
        <w:rPr>
          <w:rStyle w:val="FootnoteReference"/>
          <w:rFonts w:ascii="Times New Roman" w:hAnsi="Times New Roman" w:cs="Times New Roman"/>
          <w:color w:val="000000" w:themeColor="text1"/>
          <w:sz w:val="48"/>
          <w:szCs w:val="48"/>
        </w:rPr>
        <w:footnoteReference w:customMarkFollows="1" w:id="1"/>
        <w:t>*</w:t>
      </w:r>
    </w:p>
    <w:p w14:paraId="2A285690" w14:textId="6CAD35BD" w:rsidR="00D72B89" w:rsidRDefault="00D72B89" w:rsidP="00F63539">
      <w:pPr>
        <w:jc w:val="center"/>
        <w:rPr>
          <w:rStyle w:val="Hyperlink"/>
          <w:rFonts w:ascii="Times New Roman" w:hAnsi="Times New Roman" w:cs="Times New Roman"/>
          <w:color w:val="000000" w:themeColor="text1"/>
          <w:sz w:val="48"/>
          <w:szCs w:val="48"/>
          <w:u w:val="none"/>
        </w:rPr>
      </w:pPr>
    </w:p>
    <w:p w14:paraId="4B71AB51" w14:textId="77777777" w:rsidR="00AE3779" w:rsidRDefault="00AE3779" w:rsidP="00F63539">
      <w:pPr>
        <w:jc w:val="center"/>
        <w:rPr>
          <w:rStyle w:val="Hyperlink"/>
          <w:rFonts w:ascii="Times New Roman" w:hAnsi="Times New Roman" w:cs="Times New Roman"/>
          <w:color w:val="000000" w:themeColor="text1"/>
          <w:sz w:val="48"/>
          <w:szCs w:val="48"/>
          <w:u w:val="none"/>
        </w:rPr>
      </w:pPr>
    </w:p>
    <w:p w14:paraId="1BAEB3E6" w14:textId="6B795E6C" w:rsidR="00F63539" w:rsidRDefault="00F63539" w:rsidP="00F63539">
      <w:pPr>
        <w:jc w:val="center"/>
        <w:rPr>
          <w:rStyle w:val="Hyperlink"/>
          <w:rFonts w:ascii="Times New Roman" w:hAnsi="Times New Roman" w:cs="Times New Roman"/>
        </w:rPr>
      </w:pPr>
      <w:r>
        <w:rPr>
          <w:rFonts w:ascii="Times New Roman" w:hAnsi="Times New Roman" w:cs="Times New Roman"/>
        </w:rPr>
        <w:t xml:space="preserve">Gabriel Gilling – </w:t>
      </w:r>
      <w:hyperlink r:id="rId7" w:history="1">
        <w:r w:rsidRPr="00BB56DF">
          <w:rPr>
            <w:rStyle w:val="Hyperlink"/>
            <w:rFonts w:ascii="Times New Roman" w:hAnsi="Times New Roman" w:cs="Times New Roman"/>
          </w:rPr>
          <w:t>gig2106@columbia.edu</w:t>
        </w:r>
      </w:hyperlink>
    </w:p>
    <w:p w14:paraId="5B62CF76" w14:textId="62C62A80" w:rsidR="00EB4F4C" w:rsidRDefault="00EB4F4C" w:rsidP="00EB4F4C">
      <w:pPr>
        <w:jc w:val="center"/>
        <w:rPr>
          <w:rStyle w:val="Hyperlink"/>
          <w:rFonts w:ascii="Times New Roman" w:hAnsi="Times New Roman" w:cs="Times New Roman"/>
          <w:color w:val="000000" w:themeColor="text1"/>
          <w:u w:val="none"/>
        </w:rPr>
      </w:pPr>
      <w:r w:rsidRPr="00EB4F4C">
        <w:rPr>
          <w:rStyle w:val="Hyperlink"/>
          <w:rFonts w:ascii="Times New Roman" w:hAnsi="Times New Roman" w:cs="Times New Roman"/>
          <w:color w:val="000000" w:themeColor="text1"/>
          <w:u w:val="none"/>
        </w:rPr>
        <w:t>Master</w:t>
      </w:r>
      <w:r>
        <w:rPr>
          <w:rStyle w:val="Hyperlink"/>
          <w:rFonts w:ascii="Times New Roman" w:hAnsi="Times New Roman" w:cs="Times New Roman"/>
          <w:color w:val="000000" w:themeColor="text1"/>
          <w:u w:val="none"/>
        </w:rPr>
        <w:t>’s Thesis Project Proposal</w:t>
      </w:r>
    </w:p>
    <w:p w14:paraId="675955CD" w14:textId="62E2FA89" w:rsidR="00AE3779" w:rsidRDefault="00AE3779" w:rsidP="00EB4F4C">
      <w:pPr>
        <w:jc w:val="cente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Fall 2020</w:t>
      </w:r>
    </w:p>
    <w:p w14:paraId="545EB596" w14:textId="77777777" w:rsidR="00EB4F4C" w:rsidRPr="00EB4F4C" w:rsidRDefault="00EB4F4C" w:rsidP="00EB4F4C">
      <w:pPr>
        <w:jc w:val="center"/>
        <w:rPr>
          <w:rFonts w:ascii="Times New Roman" w:hAnsi="Times New Roman" w:cs="Times New Roman"/>
          <w:color w:val="000000" w:themeColor="text1"/>
        </w:rPr>
      </w:pPr>
    </w:p>
    <w:p w14:paraId="538F6570" w14:textId="5943E8FD" w:rsidR="000D3324" w:rsidRDefault="000D3324">
      <w:pPr>
        <w:rPr>
          <w:rFonts w:ascii="Times New Roman" w:hAnsi="Times New Roman" w:cs="Times New Roman"/>
        </w:rPr>
      </w:pPr>
    </w:p>
    <w:p w14:paraId="1D4E1B1D" w14:textId="07D63296" w:rsidR="0031569C" w:rsidRDefault="0031569C">
      <w:pPr>
        <w:rPr>
          <w:rFonts w:ascii="Times New Roman" w:hAnsi="Times New Roman" w:cs="Times New Roman"/>
        </w:rPr>
      </w:pPr>
    </w:p>
    <w:p w14:paraId="3F5F569F" w14:textId="478AD918" w:rsidR="00423C32" w:rsidRDefault="00423C32">
      <w:pPr>
        <w:rPr>
          <w:rFonts w:ascii="Times New Roman" w:hAnsi="Times New Roman" w:cs="Times New Roman"/>
        </w:rPr>
      </w:pPr>
    </w:p>
    <w:p w14:paraId="34B74490" w14:textId="75CE0FCB" w:rsidR="00423C32" w:rsidRDefault="00423C32">
      <w:pPr>
        <w:rPr>
          <w:rFonts w:ascii="Times New Roman" w:hAnsi="Times New Roman" w:cs="Times New Roman"/>
        </w:rPr>
      </w:pPr>
    </w:p>
    <w:p w14:paraId="7D40C385" w14:textId="3899D15C" w:rsidR="00423C32" w:rsidRDefault="00423C32">
      <w:pPr>
        <w:rPr>
          <w:rFonts w:ascii="Times New Roman" w:hAnsi="Times New Roman" w:cs="Times New Roman"/>
        </w:rPr>
      </w:pPr>
    </w:p>
    <w:p w14:paraId="00017CA2" w14:textId="54170DE5" w:rsidR="00423C32" w:rsidRDefault="00423C32">
      <w:pPr>
        <w:rPr>
          <w:rFonts w:ascii="Times New Roman" w:hAnsi="Times New Roman" w:cs="Times New Roman"/>
        </w:rPr>
      </w:pPr>
    </w:p>
    <w:p w14:paraId="137CE921" w14:textId="3A085DA5" w:rsidR="00423C32" w:rsidRDefault="00423C32">
      <w:pPr>
        <w:rPr>
          <w:rFonts w:ascii="Times New Roman" w:hAnsi="Times New Roman" w:cs="Times New Roman"/>
        </w:rPr>
      </w:pPr>
    </w:p>
    <w:p w14:paraId="6DFD67CB" w14:textId="2D83C352" w:rsidR="00423C32" w:rsidRDefault="00423C32">
      <w:pPr>
        <w:rPr>
          <w:rFonts w:ascii="Times New Roman" w:hAnsi="Times New Roman" w:cs="Times New Roman"/>
        </w:rPr>
      </w:pPr>
    </w:p>
    <w:p w14:paraId="32E8DBE9" w14:textId="2A49392F" w:rsidR="00423C32" w:rsidRDefault="00423C32">
      <w:pPr>
        <w:rPr>
          <w:rFonts w:ascii="Times New Roman" w:hAnsi="Times New Roman" w:cs="Times New Roman"/>
        </w:rPr>
      </w:pPr>
    </w:p>
    <w:p w14:paraId="56239B1C" w14:textId="2F02759D" w:rsidR="00423C32" w:rsidRDefault="00423C32">
      <w:pPr>
        <w:rPr>
          <w:rFonts w:ascii="Times New Roman" w:hAnsi="Times New Roman" w:cs="Times New Roman"/>
        </w:rPr>
      </w:pPr>
    </w:p>
    <w:p w14:paraId="0C66C5DB" w14:textId="5DC1106A" w:rsidR="00423C32" w:rsidRDefault="00423C32">
      <w:pPr>
        <w:rPr>
          <w:rFonts w:ascii="Times New Roman" w:hAnsi="Times New Roman" w:cs="Times New Roman"/>
        </w:rPr>
      </w:pPr>
    </w:p>
    <w:p w14:paraId="529F92A4" w14:textId="4EC97924" w:rsidR="00423C32" w:rsidRDefault="00423C32">
      <w:pPr>
        <w:rPr>
          <w:rFonts w:ascii="Times New Roman" w:hAnsi="Times New Roman" w:cs="Times New Roman"/>
        </w:rPr>
      </w:pPr>
    </w:p>
    <w:p w14:paraId="22393292" w14:textId="0755D260" w:rsidR="00423C32" w:rsidRDefault="00423C32">
      <w:pPr>
        <w:rPr>
          <w:rFonts w:ascii="Times New Roman" w:hAnsi="Times New Roman" w:cs="Times New Roman"/>
        </w:rPr>
      </w:pPr>
    </w:p>
    <w:p w14:paraId="02745D5C" w14:textId="452E338A" w:rsidR="00423C32" w:rsidRDefault="00423C32">
      <w:pPr>
        <w:rPr>
          <w:rFonts w:ascii="Times New Roman" w:hAnsi="Times New Roman" w:cs="Times New Roman"/>
        </w:rPr>
      </w:pPr>
    </w:p>
    <w:p w14:paraId="187C19EB" w14:textId="6BFAFC3F" w:rsidR="00423C32" w:rsidRDefault="00423C32">
      <w:pPr>
        <w:rPr>
          <w:rFonts w:ascii="Times New Roman" w:hAnsi="Times New Roman" w:cs="Times New Roman"/>
        </w:rPr>
      </w:pPr>
    </w:p>
    <w:p w14:paraId="16ABFFB7" w14:textId="5F7DC8A6" w:rsidR="00423C32" w:rsidRDefault="00423C32">
      <w:pPr>
        <w:rPr>
          <w:rFonts w:ascii="Times New Roman" w:hAnsi="Times New Roman" w:cs="Times New Roman"/>
        </w:rPr>
      </w:pPr>
    </w:p>
    <w:p w14:paraId="778778D8" w14:textId="2333EFEE" w:rsidR="00423C32" w:rsidRDefault="00423C32">
      <w:pPr>
        <w:rPr>
          <w:rFonts w:ascii="Times New Roman" w:hAnsi="Times New Roman" w:cs="Times New Roman"/>
        </w:rPr>
      </w:pPr>
    </w:p>
    <w:p w14:paraId="1A8841E0" w14:textId="7853DBA1" w:rsidR="00423C32" w:rsidRDefault="00423C32">
      <w:pPr>
        <w:rPr>
          <w:rFonts w:ascii="Times New Roman" w:hAnsi="Times New Roman" w:cs="Times New Roman"/>
        </w:rPr>
      </w:pPr>
    </w:p>
    <w:p w14:paraId="441DA49A" w14:textId="40407E30" w:rsidR="00423C32" w:rsidRDefault="00423C32">
      <w:pPr>
        <w:rPr>
          <w:rFonts w:ascii="Times New Roman" w:hAnsi="Times New Roman" w:cs="Times New Roman"/>
        </w:rPr>
      </w:pPr>
    </w:p>
    <w:p w14:paraId="0535D3E7" w14:textId="7D0EFDEF" w:rsidR="00423C32" w:rsidRDefault="00423C32">
      <w:pPr>
        <w:rPr>
          <w:rFonts w:ascii="Times New Roman" w:hAnsi="Times New Roman" w:cs="Times New Roman"/>
        </w:rPr>
      </w:pPr>
    </w:p>
    <w:p w14:paraId="4330C2CB" w14:textId="40ADC115" w:rsidR="00423C32" w:rsidRDefault="00423C32">
      <w:pPr>
        <w:rPr>
          <w:rFonts w:ascii="Times New Roman" w:hAnsi="Times New Roman" w:cs="Times New Roman"/>
        </w:rPr>
      </w:pPr>
    </w:p>
    <w:p w14:paraId="64D52C93" w14:textId="611BFD75" w:rsidR="00423C32" w:rsidRDefault="00423C32">
      <w:pPr>
        <w:rPr>
          <w:rFonts w:ascii="Times New Roman" w:hAnsi="Times New Roman" w:cs="Times New Roman"/>
        </w:rPr>
      </w:pPr>
    </w:p>
    <w:p w14:paraId="09D76D97" w14:textId="2893E58A" w:rsidR="00423C32" w:rsidRDefault="00423C32">
      <w:pPr>
        <w:rPr>
          <w:rFonts w:ascii="Times New Roman" w:hAnsi="Times New Roman" w:cs="Times New Roman"/>
        </w:rPr>
      </w:pPr>
    </w:p>
    <w:p w14:paraId="4CD9B500" w14:textId="5701A0FB" w:rsidR="00423C32" w:rsidRDefault="00423C32">
      <w:pPr>
        <w:rPr>
          <w:rFonts w:ascii="Times New Roman" w:hAnsi="Times New Roman" w:cs="Times New Roman"/>
        </w:rPr>
      </w:pPr>
    </w:p>
    <w:p w14:paraId="7489B12B" w14:textId="615EC5B7" w:rsidR="00423C32" w:rsidRDefault="00423C32">
      <w:pPr>
        <w:rPr>
          <w:rFonts w:ascii="Times New Roman" w:hAnsi="Times New Roman" w:cs="Times New Roman"/>
        </w:rPr>
      </w:pPr>
    </w:p>
    <w:p w14:paraId="0BD3EA81" w14:textId="5BD8155A" w:rsidR="00423C32" w:rsidRDefault="00423C32">
      <w:pPr>
        <w:rPr>
          <w:rFonts w:ascii="Times New Roman" w:hAnsi="Times New Roman" w:cs="Times New Roman"/>
        </w:rPr>
      </w:pPr>
    </w:p>
    <w:p w14:paraId="0BB80A45" w14:textId="2E6EB41C" w:rsidR="00423C32" w:rsidRDefault="00423C32">
      <w:pPr>
        <w:rPr>
          <w:rFonts w:ascii="Times New Roman" w:hAnsi="Times New Roman" w:cs="Times New Roman"/>
        </w:rPr>
      </w:pPr>
    </w:p>
    <w:p w14:paraId="6800751B" w14:textId="74996BF7" w:rsidR="00423C32" w:rsidRDefault="00423C32">
      <w:pPr>
        <w:rPr>
          <w:rFonts w:ascii="Times New Roman" w:hAnsi="Times New Roman" w:cs="Times New Roman"/>
        </w:rPr>
      </w:pPr>
    </w:p>
    <w:p w14:paraId="3CCFD6CB" w14:textId="0C701186" w:rsidR="00423C32" w:rsidRDefault="00423C32">
      <w:pPr>
        <w:rPr>
          <w:rFonts w:ascii="Times New Roman" w:hAnsi="Times New Roman" w:cs="Times New Roman"/>
        </w:rPr>
      </w:pPr>
    </w:p>
    <w:p w14:paraId="38E8B02B" w14:textId="51BB4640" w:rsidR="00423C32" w:rsidRDefault="00423C32">
      <w:pPr>
        <w:rPr>
          <w:rFonts w:ascii="Times New Roman" w:hAnsi="Times New Roman" w:cs="Times New Roman"/>
        </w:rPr>
      </w:pPr>
    </w:p>
    <w:p w14:paraId="6F61EAC6" w14:textId="77777777" w:rsidR="00423C32" w:rsidRPr="00870866" w:rsidRDefault="00423C32" w:rsidP="00423C32">
      <w:pPr>
        <w:spacing w:line="480" w:lineRule="auto"/>
        <w:rPr>
          <w:rFonts w:ascii="Times New Roman" w:hAnsi="Times New Roman" w:cs="Times New Roman"/>
          <w:b/>
          <w:bCs/>
        </w:rPr>
      </w:pPr>
      <w:r>
        <w:rPr>
          <w:rFonts w:ascii="Times New Roman" w:hAnsi="Times New Roman" w:cs="Times New Roman"/>
          <w:b/>
          <w:bCs/>
        </w:rPr>
        <w:lastRenderedPageBreak/>
        <w:t>Introduction</w:t>
      </w:r>
    </w:p>
    <w:p w14:paraId="1882DCEB" w14:textId="2E25E783" w:rsidR="00423C32" w:rsidRDefault="00E06D82" w:rsidP="00E06D82">
      <w:pPr>
        <w:spacing w:line="480" w:lineRule="auto"/>
        <w:ind w:firstLine="360"/>
        <w:rPr>
          <w:rFonts w:ascii="Times New Roman" w:hAnsi="Times New Roman" w:cs="Times New Roman"/>
        </w:rPr>
      </w:pPr>
      <w:r w:rsidRPr="00E06D82">
        <w:rPr>
          <w:rFonts w:ascii="Times New Roman" w:hAnsi="Times New Roman" w:cs="Times New Roman"/>
        </w:rPr>
        <w:t>Political Scientists often turn to surveys to estimate public preferences because understanding preferences is essential to understanding how a democratic system functions. If elected officials act in the name of th</w:t>
      </w:r>
      <w:r>
        <w:rPr>
          <w:rFonts w:ascii="Times New Roman" w:hAnsi="Times New Roman" w:cs="Times New Roman"/>
        </w:rPr>
        <w:t>eir constituents</w:t>
      </w:r>
      <w:r w:rsidRPr="00E06D82">
        <w:rPr>
          <w:rFonts w:ascii="Times New Roman" w:hAnsi="Times New Roman" w:cs="Times New Roman"/>
        </w:rPr>
        <w:t xml:space="preserve">, then they need to know </w:t>
      </w:r>
      <w:r>
        <w:rPr>
          <w:rFonts w:ascii="Times New Roman" w:hAnsi="Times New Roman" w:cs="Times New Roman"/>
        </w:rPr>
        <w:t xml:space="preserve">what their constituents’ preferences are </w:t>
      </w:r>
      <w:r w:rsidRPr="00E06D82">
        <w:rPr>
          <w:rFonts w:ascii="Times New Roman" w:hAnsi="Times New Roman" w:cs="Times New Roman"/>
        </w:rPr>
        <w:t xml:space="preserve">in order to </w:t>
      </w:r>
      <w:r>
        <w:rPr>
          <w:rFonts w:ascii="Times New Roman" w:hAnsi="Times New Roman" w:cs="Times New Roman"/>
        </w:rPr>
        <w:t>act accordingly</w:t>
      </w:r>
      <w:r w:rsidRPr="00E06D82">
        <w:rPr>
          <w:rFonts w:ascii="Times New Roman" w:hAnsi="Times New Roman" w:cs="Times New Roman"/>
        </w:rPr>
        <w:t xml:space="preserve">. Conversely, the public may elect politicians because those </w:t>
      </w:r>
      <w:r w:rsidRPr="00495D8F">
        <w:rPr>
          <w:rFonts w:ascii="Times New Roman" w:hAnsi="Times New Roman" w:cs="Times New Roman"/>
          <w:color w:val="000000" w:themeColor="text1"/>
        </w:rPr>
        <w:t>politicians offer the platforms “closest” to their preferences.</w:t>
      </w:r>
      <w:r w:rsidR="00E013A9" w:rsidRPr="00495D8F">
        <w:rPr>
          <w:rFonts w:ascii="Times New Roman" w:hAnsi="Times New Roman" w:cs="Times New Roman"/>
          <w:color w:val="000000" w:themeColor="text1"/>
        </w:rPr>
        <w:t xml:space="preserve"> </w:t>
      </w:r>
      <w:r w:rsidR="00E013A9" w:rsidRPr="00495D8F">
        <w:rPr>
          <w:rFonts w:ascii="Times New Roman" w:hAnsi="Times New Roman" w:cs="Times New Roman"/>
          <w:color w:val="000000" w:themeColor="text1"/>
        </w:rPr>
        <w:t>While</w:t>
      </w:r>
      <w:r w:rsidR="00495D8F" w:rsidRPr="00495D8F">
        <w:t xml:space="preserve"> </w:t>
      </w:r>
      <w:r w:rsidR="00495D8F" w:rsidRPr="00495D8F">
        <w:rPr>
          <w:rFonts w:ascii="Times New Roman" w:hAnsi="Times New Roman" w:cs="Times New Roman"/>
          <w:color w:val="000000" w:themeColor="text1"/>
        </w:rPr>
        <w:t>the present study does not address that issue,</w:t>
      </w:r>
      <w:r w:rsidR="00E013A9" w:rsidRPr="00495D8F">
        <w:rPr>
          <w:rFonts w:ascii="Times New Roman" w:hAnsi="Times New Roman" w:cs="Times New Roman"/>
          <w:color w:val="000000" w:themeColor="text1"/>
        </w:rPr>
        <w:t xml:space="preserve"> </w:t>
      </w:r>
      <w:r w:rsidR="00E013A9">
        <w:rPr>
          <w:rFonts w:ascii="Times New Roman" w:hAnsi="Times New Roman" w:cs="Times New Roman"/>
        </w:rPr>
        <w:t>better understanding citizens’ preferences is invaluable regardless. Even if we cannot ascertain the causal direction between voter preferences and the political behavior of their elected officials, it is important for us to know if those preferences are at least mirrored to some extent by politicians</w:t>
      </w:r>
      <w:r w:rsidR="000A7D7B">
        <w:rPr>
          <w:rFonts w:ascii="Times New Roman" w:hAnsi="Times New Roman" w:cs="Times New Roman"/>
        </w:rPr>
        <w:t>.</w:t>
      </w:r>
      <w:r w:rsidR="00A4104E">
        <w:rPr>
          <w:rFonts w:ascii="Times New Roman" w:hAnsi="Times New Roman" w:cs="Times New Roman"/>
        </w:rPr>
        <w:t xml:space="preserve"> The existence of a democratic deficit in the European Union (EU) has been a matter of controversy in academia</w:t>
      </w:r>
      <w:r w:rsidR="00A4104E">
        <w:rPr>
          <w:rStyle w:val="FootnoteReference"/>
          <w:rFonts w:ascii="Times New Roman" w:hAnsi="Times New Roman" w:cs="Times New Roman"/>
        </w:rPr>
        <w:footnoteReference w:id="2"/>
      </w:r>
      <w:r w:rsidR="00A97CE5">
        <w:rPr>
          <w:rFonts w:ascii="Times New Roman" w:hAnsi="Times New Roman" w:cs="Times New Roman"/>
        </w:rPr>
        <w:t>, in the media</w:t>
      </w:r>
      <w:r w:rsidR="00A97CE5">
        <w:rPr>
          <w:rStyle w:val="FootnoteReference"/>
          <w:rFonts w:ascii="Times New Roman" w:hAnsi="Times New Roman" w:cs="Times New Roman"/>
        </w:rPr>
        <w:footnoteReference w:id="3"/>
      </w:r>
      <w:r w:rsidR="00A97CE5">
        <w:rPr>
          <w:rFonts w:ascii="Times New Roman" w:hAnsi="Times New Roman" w:cs="Times New Roman"/>
        </w:rPr>
        <w:t xml:space="preserve"> </w:t>
      </w:r>
      <w:r w:rsidR="002D598D">
        <w:rPr>
          <w:rFonts w:ascii="Times New Roman" w:hAnsi="Times New Roman" w:cs="Times New Roman"/>
        </w:rPr>
        <w:t xml:space="preserve">and has very real implications for policymakers </w:t>
      </w:r>
      <w:r w:rsidR="00CD64E3">
        <w:rPr>
          <w:rFonts w:ascii="Times New Roman" w:hAnsi="Times New Roman" w:cs="Times New Roman"/>
        </w:rPr>
        <w:t>in Europe</w:t>
      </w:r>
      <w:r w:rsidR="002D598D">
        <w:rPr>
          <w:rFonts w:ascii="Times New Roman" w:hAnsi="Times New Roman" w:cs="Times New Roman"/>
        </w:rPr>
        <w:t xml:space="preserve"> – politicians and voters in favor of Brexit, the divorce between Great Britain and the EU, heavily relied on the idea to gain legitimacy and ultimately win the vote</w:t>
      </w:r>
      <w:r w:rsidR="00CD64E3">
        <w:rPr>
          <w:rFonts w:ascii="Times New Roman" w:hAnsi="Times New Roman" w:cs="Times New Roman"/>
        </w:rPr>
        <w:t>.</w:t>
      </w:r>
      <w:r w:rsidR="002D598D">
        <w:rPr>
          <w:rStyle w:val="FootnoteReference"/>
          <w:rFonts w:ascii="Times New Roman" w:hAnsi="Times New Roman" w:cs="Times New Roman"/>
        </w:rPr>
        <w:footnoteReference w:id="4"/>
      </w:r>
      <w:r w:rsidR="002D598D">
        <w:rPr>
          <w:rFonts w:ascii="Times New Roman" w:hAnsi="Times New Roman" w:cs="Times New Roman"/>
        </w:rPr>
        <w:t xml:space="preserve"> </w:t>
      </w:r>
      <w:r w:rsidR="00B95492">
        <w:rPr>
          <w:rFonts w:ascii="Times New Roman" w:hAnsi="Times New Roman" w:cs="Times New Roman"/>
        </w:rPr>
        <w:t>At the heart of the controversy lies the aforementioned question: are European citizens actually represented by the EU?</w:t>
      </w:r>
      <w:r w:rsidR="00862D13">
        <w:rPr>
          <w:rFonts w:ascii="Times New Roman" w:hAnsi="Times New Roman" w:cs="Times New Roman"/>
        </w:rPr>
        <w:t xml:space="preserve"> If not, then w</w:t>
      </w:r>
      <w:r w:rsidR="00D06B36">
        <w:rPr>
          <w:rFonts w:ascii="Times New Roman" w:hAnsi="Times New Roman" w:cs="Times New Roman"/>
        </w:rPr>
        <w:t>hat drives the voting behaviors of the</w:t>
      </w:r>
      <w:r w:rsidR="00862D13">
        <w:rPr>
          <w:rFonts w:ascii="Times New Roman" w:hAnsi="Times New Roman" w:cs="Times New Roman"/>
        </w:rPr>
        <w:t xml:space="preserve"> </w:t>
      </w:r>
      <w:r w:rsidR="00C008D2">
        <w:rPr>
          <w:rFonts w:ascii="Times New Roman" w:hAnsi="Times New Roman" w:cs="Times New Roman"/>
        </w:rPr>
        <w:t xml:space="preserve">Members </w:t>
      </w:r>
      <w:r w:rsidR="00C008D2">
        <w:rPr>
          <w:rFonts w:ascii="Times New Roman" w:hAnsi="Times New Roman" w:cs="Times New Roman"/>
        </w:rPr>
        <w:t xml:space="preserve">of the </w:t>
      </w:r>
      <w:r w:rsidR="00862D13">
        <w:rPr>
          <w:rFonts w:ascii="Times New Roman" w:hAnsi="Times New Roman" w:cs="Times New Roman"/>
        </w:rPr>
        <w:t>European Parliament (MEPs), the only democratically elected officials</w:t>
      </w:r>
      <w:r w:rsidR="00D06B36">
        <w:rPr>
          <w:rFonts w:ascii="Times New Roman" w:hAnsi="Times New Roman" w:cs="Times New Roman"/>
        </w:rPr>
        <w:t xml:space="preserve"> that make up the EU government? These questions have important implications, but also present</w:t>
      </w:r>
      <w:r w:rsidR="00B95492">
        <w:rPr>
          <w:rFonts w:ascii="Times New Roman" w:hAnsi="Times New Roman" w:cs="Times New Roman"/>
        </w:rPr>
        <w:t xml:space="preserve"> </w:t>
      </w:r>
      <w:r w:rsidR="00CA68D2">
        <w:rPr>
          <w:rFonts w:ascii="Times New Roman" w:hAnsi="Times New Roman" w:cs="Times New Roman"/>
        </w:rPr>
        <w:t xml:space="preserve">an opportunity </w:t>
      </w:r>
      <w:r w:rsidR="00812D49">
        <w:rPr>
          <w:rFonts w:ascii="Times New Roman" w:hAnsi="Times New Roman" w:cs="Times New Roman"/>
        </w:rPr>
        <w:t xml:space="preserve">to </w:t>
      </w:r>
      <w:r w:rsidR="00A269F3">
        <w:rPr>
          <w:rFonts w:ascii="Times New Roman" w:hAnsi="Times New Roman" w:cs="Times New Roman"/>
        </w:rPr>
        <w:t xml:space="preserve">better understand the link between citizen preferences and </w:t>
      </w:r>
      <w:r w:rsidR="005D184E">
        <w:rPr>
          <w:rFonts w:ascii="Times New Roman" w:hAnsi="Times New Roman" w:cs="Times New Roman"/>
        </w:rPr>
        <w:t xml:space="preserve">the behavior of their </w:t>
      </w:r>
      <w:r w:rsidR="00A269F3">
        <w:rPr>
          <w:rFonts w:ascii="Times New Roman" w:hAnsi="Times New Roman" w:cs="Times New Roman"/>
        </w:rPr>
        <w:t>elected official</w:t>
      </w:r>
      <w:r w:rsidR="005D184E">
        <w:rPr>
          <w:rFonts w:ascii="Times New Roman" w:hAnsi="Times New Roman" w:cs="Times New Roman"/>
        </w:rPr>
        <w:t>s</w:t>
      </w:r>
      <w:r w:rsidR="00CA68D2">
        <w:rPr>
          <w:rFonts w:ascii="Times New Roman" w:hAnsi="Times New Roman" w:cs="Times New Roman"/>
        </w:rPr>
        <w:t>.</w:t>
      </w:r>
    </w:p>
    <w:p w14:paraId="178130B7" w14:textId="77777777" w:rsidR="00E06D82" w:rsidRDefault="00E06D82">
      <w:pPr>
        <w:rPr>
          <w:rFonts w:ascii="Times New Roman" w:hAnsi="Times New Roman" w:cs="Times New Roman"/>
        </w:rPr>
      </w:pPr>
    </w:p>
    <w:p w14:paraId="30C98FF0" w14:textId="253CCB23" w:rsidR="00E42ECE" w:rsidRDefault="004C2A1E" w:rsidP="00E42ECE">
      <w:pPr>
        <w:spacing w:line="480" w:lineRule="auto"/>
        <w:ind w:firstLine="360"/>
        <w:rPr>
          <w:rFonts w:ascii="Times New Roman" w:hAnsi="Times New Roman" w:cs="Times New Roman"/>
        </w:rPr>
      </w:pPr>
      <w:r>
        <w:rPr>
          <w:rFonts w:ascii="Times New Roman" w:hAnsi="Times New Roman" w:cs="Times New Roman"/>
        </w:rPr>
        <w:lastRenderedPageBreak/>
        <w:t>As such, m</w:t>
      </w:r>
      <w:r w:rsidR="002F5436">
        <w:rPr>
          <w:rFonts w:ascii="Times New Roman" w:hAnsi="Times New Roman" w:cs="Times New Roman"/>
        </w:rPr>
        <w:t>y thesis will attempt to investigate the democratic deficit in the European Union</w:t>
      </w:r>
      <w:r w:rsidR="00431BCC">
        <w:rPr>
          <w:rFonts w:ascii="Times New Roman" w:hAnsi="Times New Roman" w:cs="Times New Roman"/>
        </w:rPr>
        <w:t xml:space="preserve"> by correlating citizen preferences at the regional level with their elected official’s voting behavior. </w:t>
      </w:r>
      <w:r w:rsidR="007A7244">
        <w:rPr>
          <w:rFonts w:ascii="Times New Roman" w:hAnsi="Times New Roman" w:cs="Times New Roman"/>
        </w:rPr>
        <w:t xml:space="preserve">Further, I am interested in applying Bayesian Modeling and Multi-level Regression and Poststratification (MRP) methods in </w:t>
      </w:r>
      <w:r w:rsidR="00FA5DAB">
        <w:rPr>
          <w:rFonts w:ascii="Times New Roman" w:hAnsi="Times New Roman" w:cs="Times New Roman"/>
        </w:rPr>
        <w:t>novel</w:t>
      </w:r>
      <w:r w:rsidR="007A7244">
        <w:rPr>
          <w:rFonts w:ascii="Times New Roman" w:hAnsi="Times New Roman" w:cs="Times New Roman"/>
        </w:rPr>
        <w:t xml:space="preserve"> settings, particularly </w:t>
      </w:r>
      <w:r w:rsidR="00FA5DAB">
        <w:rPr>
          <w:rFonts w:ascii="Times New Roman" w:hAnsi="Times New Roman" w:cs="Times New Roman"/>
        </w:rPr>
        <w:t>using</w:t>
      </w:r>
      <w:r w:rsidR="00EC74DB">
        <w:rPr>
          <w:rFonts w:ascii="Times New Roman" w:hAnsi="Times New Roman" w:cs="Times New Roman"/>
        </w:rPr>
        <w:t xml:space="preserve"> survey</w:t>
      </w:r>
      <w:r w:rsidR="00FA5DAB">
        <w:rPr>
          <w:rFonts w:ascii="Times New Roman" w:hAnsi="Times New Roman" w:cs="Times New Roman"/>
        </w:rPr>
        <w:t xml:space="preserve"> data from European countries and analyz</w:t>
      </w:r>
      <w:r w:rsidR="007C6010">
        <w:rPr>
          <w:rFonts w:ascii="Times New Roman" w:hAnsi="Times New Roman" w:cs="Times New Roman"/>
        </w:rPr>
        <w:t>ing</w:t>
      </w:r>
      <w:r w:rsidR="00FA5DAB">
        <w:rPr>
          <w:rFonts w:ascii="Times New Roman" w:hAnsi="Times New Roman" w:cs="Times New Roman"/>
        </w:rPr>
        <w:t xml:space="preserve"> representation at </w:t>
      </w:r>
      <w:r w:rsidR="007A7244">
        <w:rPr>
          <w:rFonts w:ascii="Times New Roman" w:hAnsi="Times New Roman" w:cs="Times New Roman"/>
        </w:rPr>
        <w:t>the European Union.</w:t>
      </w:r>
      <w:r w:rsidR="00C23BC9">
        <w:rPr>
          <w:rFonts w:ascii="Times New Roman" w:hAnsi="Times New Roman" w:cs="Times New Roman"/>
        </w:rPr>
        <w:t xml:space="preserve"> </w:t>
      </w:r>
    </w:p>
    <w:p w14:paraId="31E6A697" w14:textId="1E99B306" w:rsidR="00FA5DAB" w:rsidRDefault="00C23BC9" w:rsidP="00E42ECE">
      <w:pPr>
        <w:spacing w:line="480" w:lineRule="auto"/>
        <w:ind w:firstLine="360"/>
        <w:rPr>
          <w:rFonts w:ascii="Times New Roman" w:hAnsi="Times New Roman" w:cs="Times New Roman"/>
        </w:rPr>
      </w:pPr>
      <w:r>
        <w:rPr>
          <w:rFonts w:ascii="Times New Roman" w:hAnsi="Times New Roman" w:cs="Times New Roman"/>
        </w:rPr>
        <w:t>I am also interest</w:t>
      </w:r>
      <w:r w:rsidR="00F007C4">
        <w:rPr>
          <w:rFonts w:ascii="Times New Roman" w:hAnsi="Times New Roman" w:cs="Times New Roman"/>
        </w:rPr>
        <w:t>ed</w:t>
      </w:r>
      <w:r>
        <w:rPr>
          <w:rFonts w:ascii="Times New Roman" w:hAnsi="Times New Roman" w:cs="Times New Roman"/>
        </w:rPr>
        <w:t xml:space="preserve"> in deploying a Bayesian framework of analysis and using the Stan programming language in order to do so. </w:t>
      </w:r>
      <w:r w:rsidR="00212EF2">
        <w:rPr>
          <w:rFonts w:ascii="Times New Roman" w:hAnsi="Times New Roman" w:cs="Times New Roman"/>
        </w:rPr>
        <w:t xml:space="preserve">As its name implies, MRP revolves around multilevel (or hierarchical) regression, and </w:t>
      </w:r>
      <w:r w:rsidR="007D69F3">
        <w:rPr>
          <w:rFonts w:ascii="Times New Roman" w:hAnsi="Times New Roman" w:cs="Times New Roman"/>
        </w:rPr>
        <w:t>its</w:t>
      </w:r>
      <w:r w:rsidR="00212EF2">
        <w:rPr>
          <w:rFonts w:ascii="Times New Roman" w:hAnsi="Times New Roman" w:cs="Times New Roman"/>
        </w:rPr>
        <w:t xml:space="preserve"> performance can be improved with the inclusion of priors in the modeling phase</w:t>
      </w:r>
      <w:r w:rsidR="00212EF2">
        <w:rPr>
          <w:rStyle w:val="FootnoteReference"/>
          <w:rFonts w:ascii="Times New Roman" w:hAnsi="Times New Roman" w:cs="Times New Roman"/>
        </w:rPr>
        <w:footnoteReference w:id="5"/>
      </w:r>
      <w:r w:rsidR="00E32E2E">
        <w:rPr>
          <w:rFonts w:ascii="Times New Roman" w:hAnsi="Times New Roman" w:cs="Times New Roman"/>
        </w:rPr>
        <w:t xml:space="preserve"> - not to mention the added benefit of working with a full posterior distribution of estimated preferences, as opposed to point estimates yielded by Frequentist estimations.</w:t>
      </w:r>
    </w:p>
    <w:p w14:paraId="3A563B06" w14:textId="192339D0" w:rsidR="009F3955" w:rsidRDefault="009F3955" w:rsidP="009F3955">
      <w:pPr>
        <w:spacing w:line="480" w:lineRule="auto"/>
        <w:rPr>
          <w:rFonts w:ascii="Times New Roman" w:hAnsi="Times New Roman" w:cs="Times New Roman"/>
        </w:rPr>
      </w:pPr>
    </w:p>
    <w:p w14:paraId="50F5405B" w14:textId="04AB0065" w:rsidR="00C15282" w:rsidRDefault="009F3955" w:rsidP="00C9697A">
      <w:pPr>
        <w:spacing w:line="480" w:lineRule="auto"/>
        <w:rPr>
          <w:rFonts w:ascii="Times New Roman" w:hAnsi="Times New Roman" w:cs="Times New Roman"/>
        </w:rPr>
      </w:pPr>
      <w:r>
        <w:rPr>
          <w:rFonts w:ascii="Times New Roman" w:hAnsi="Times New Roman" w:cs="Times New Roman"/>
          <w:b/>
          <w:bCs/>
        </w:rPr>
        <w:t>Literature Review</w:t>
      </w:r>
    </w:p>
    <w:p w14:paraId="59ACFE01" w14:textId="7DE0963F" w:rsidR="005E261A" w:rsidRDefault="008B1D8D" w:rsidP="00FA3F31">
      <w:pPr>
        <w:spacing w:line="480" w:lineRule="auto"/>
        <w:ind w:firstLine="360"/>
        <w:rPr>
          <w:rFonts w:ascii="Times New Roman" w:hAnsi="Times New Roman" w:cs="Times New Roman"/>
        </w:rPr>
      </w:pPr>
      <w:r>
        <w:rPr>
          <w:rFonts w:ascii="Times New Roman" w:hAnsi="Times New Roman" w:cs="Times New Roman"/>
        </w:rPr>
        <w:t>M</w:t>
      </w:r>
      <w:r w:rsidR="00883A5E">
        <w:rPr>
          <w:rFonts w:ascii="Times New Roman" w:hAnsi="Times New Roman" w:cs="Times New Roman"/>
        </w:rPr>
        <w:t>y thesis will attempt to</w:t>
      </w:r>
      <w:r w:rsidR="00D500B8">
        <w:rPr>
          <w:rFonts w:ascii="Times New Roman" w:hAnsi="Times New Roman" w:cs="Times New Roman"/>
        </w:rPr>
        <w:t xml:space="preserve"> fill </w:t>
      </w:r>
      <w:r w:rsidR="0046714E">
        <w:rPr>
          <w:rFonts w:ascii="Times New Roman" w:hAnsi="Times New Roman" w:cs="Times New Roman"/>
        </w:rPr>
        <w:t>substantive, geographical and methodological</w:t>
      </w:r>
      <w:r w:rsidR="00D500B8">
        <w:rPr>
          <w:rFonts w:ascii="Times New Roman" w:hAnsi="Times New Roman" w:cs="Times New Roman"/>
        </w:rPr>
        <w:t xml:space="preserve"> gaps</w:t>
      </w:r>
      <w:r w:rsidR="00883A5E">
        <w:rPr>
          <w:rFonts w:ascii="Times New Roman" w:hAnsi="Times New Roman" w:cs="Times New Roman"/>
        </w:rPr>
        <w:t xml:space="preserve"> </w:t>
      </w:r>
      <w:r w:rsidR="005C4E26">
        <w:rPr>
          <w:rFonts w:ascii="Times New Roman" w:hAnsi="Times New Roman" w:cs="Times New Roman"/>
        </w:rPr>
        <w:t xml:space="preserve">I’ve identified </w:t>
      </w:r>
      <w:r w:rsidR="00883A5E">
        <w:rPr>
          <w:rFonts w:ascii="Times New Roman" w:hAnsi="Times New Roman" w:cs="Times New Roman"/>
        </w:rPr>
        <w:t>in the literature</w:t>
      </w:r>
      <w:r w:rsidR="00D500B8">
        <w:rPr>
          <w:rFonts w:ascii="Times New Roman" w:hAnsi="Times New Roman" w:cs="Times New Roman"/>
        </w:rPr>
        <w:t>.</w:t>
      </w:r>
      <w:r w:rsidR="001122AF">
        <w:rPr>
          <w:rFonts w:ascii="Times New Roman" w:hAnsi="Times New Roman" w:cs="Times New Roman"/>
        </w:rPr>
        <w:t xml:space="preserve"> </w:t>
      </w:r>
      <w:r w:rsidR="002D58EC">
        <w:rPr>
          <w:rFonts w:ascii="Times New Roman" w:hAnsi="Times New Roman" w:cs="Times New Roman"/>
        </w:rPr>
        <w:t xml:space="preserve">First, while </w:t>
      </w:r>
      <w:r w:rsidR="001122AF">
        <w:rPr>
          <w:rFonts w:ascii="Times New Roman" w:hAnsi="Times New Roman" w:cs="Times New Roman"/>
        </w:rPr>
        <w:t>MRP has been extensively used to analyze and understand voter preferences</w:t>
      </w:r>
      <w:r w:rsidR="0093652B">
        <w:rPr>
          <w:rStyle w:val="FootnoteReference"/>
          <w:rFonts w:ascii="Times New Roman" w:hAnsi="Times New Roman" w:cs="Times New Roman"/>
        </w:rPr>
        <w:footnoteReference w:id="6"/>
      </w:r>
      <w:r w:rsidR="002D58EC">
        <w:rPr>
          <w:rFonts w:ascii="Times New Roman" w:hAnsi="Times New Roman" w:cs="Times New Roman"/>
        </w:rPr>
        <w:t xml:space="preserve"> and then compare those preferences to the voting behavior of elected officials</w:t>
      </w:r>
      <w:r w:rsidR="002D58EC">
        <w:rPr>
          <w:rStyle w:val="FootnoteReference"/>
          <w:rFonts w:ascii="Times New Roman" w:hAnsi="Times New Roman" w:cs="Times New Roman"/>
        </w:rPr>
        <w:footnoteReference w:id="7"/>
      </w:r>
      <w:r w:rsidR="00D500B8">
        <w:rPr>
          <w:rFonts w:ascii="Times New Roman" w:hAnsi="Times New Roman" w:cs="Times New Roman"/>
        </w:rPr>
        <w:t xml:space="preserve"> </w:t>
      </w:r>
      <w:r w:rsidR="007565B0">
        <w:rPr>
          <w:rFonts w:ascii="Times New Roman" w:hAnsi="Times New Roman" w:cs="Times New Roman"/>
        </w:rPr>
        <w:t>or by the patterns of rulings given by federal judges</w:t>
      </w:r>
      <w:r w:rsidR="007565B0">
        <w:rPr>
          <w:rStyle w:val="FootnoteReference"/>
          <w:rFonts w:ascii="Times New Roman" w:hAnsi="Times New Roman" w:cs="Times New Roman"/>
        </w:rPr>
        <w:footnoteReference w:id="8"/>
      </w:r>
      <w:r w:rsidR="00A54CC9">
        <w:rPr>
          <w:rFonts w:ascii="Times New Roman" w:hAnsi="Times New Roman" w:cs="Times New Roman"/>
        </w:rPr>
        <w:t xml:space="preserve">, the brunt of the research has been applied to the U.S. – where </w:t>
      </w:r>
      <w:r w:rsidR="00F358B1">
        <w:rPr>
          <w:rFonts w:ascii="Times New Roman" w:hAnsi="Times New Roman" w:cs="Times New Roman"/>
        </w:rPr>
        <w:t xml:space="preserve">a common language (which simplifies polling and surveying), </w:t>
      </w:r>
      <w:r w:rsidR="00A54CC9">
        <w:rPr>
          <w:rFonts w:ascii="Times New Roman" w:hAnsi="Times New Roman" w:cs="Times New Roman"/>
        </w:rPr>
        <w:t xml:space="preserve">streamlined </w:t>
      </w:r>
      <w:r w:rsidR="00F358B1">
        <w:rPr>
          <w:rFonts w:ascii="Times New Roman" w:hAnsi="Times New Roman" w:cs="Times New Roman"/>
        </w:rPr>
        <w:t xml:space="preserve">political </w:t>
      </w:r>
      <w:r w:rsidR="00A54CC9">
        <w:rPr>
          <w:rFonts w:ascii="Times New Roman" w:hAnsi="Times New Roman" w:cs="Times New Roman"/>
        </w:rPr>
        <w:t xml:space="preserve">representation across states and congressional districts, as well as census taking, make </w:t>
      </w:r>
      <w:r w:rsidR="00A54CC9">
        <w:rPr>
          <w:rFonts w:ascii="Times New Roman" w:hAnsi="Times New Roman" w:cs="Times New Roman"/>
        </w:rPr>
        <w:lastRenderedPageBreak/>
        <w:t>implementing MRP relatively straightforward.</w:t>
      </w:r>
      <w:r w:rsidR="007565B0">
        <w:rPr>
          <w:rFonts w:ascii="Times New Roman" w:hAnsi="Times New Roman" w:cs="Times New Roman"/>
        </w:rPr>
        <w:t xml:space="preserve"> </w:t>
      </w:r>
      <w:r w:rsidR="00FB08F5">
        <w:rPr>
          <w:rFonts w:ascii="Times New Roman" w:hAnsi="Times New Roman" w:cs="Times New Roman"/>
        </w:rPr>
        <w:t xml:space="preserve">In Europe, </w:t>
      </w:r>
      <w:r w:rsidR="00FA5DAB">
        <w:rPr>
          <w:rFonts w:ascii="Times New Roman" w:hAnsi="Times New Roman" w:cs="Times New Roman"/>
        </w:rPr>
        <w:t xml:space="preserve">MRP has been used to predict </w:t>
      </w:r>
      <w:r w:rsidR="00185FBF">
        <w:rPr>
          <w:rFonts w:ascii="Times New Roman" w:hAnsi="Times New Roman" w:cs="Times New Roman"/>
        </w:rPr>
        <w:t>political</w:t>
      </w:r>
      <w:r w:rsidR="00FA5DAB">
        <w:rPr>
          <w:rFonts w:ascii="Times New Roman" w:hAnsi="Times New Roman" w:cs="Times New Roman"/>
        </w:rPr>
        <w:t xml:space="preserve"> outcome</w:t>
      </w:r>
      <w:r w:rsidR="00185FBF">
        <w:rPr>
          <w:rFonts w:ascii="Times New Roman" w:hAnsi="Times New Roman" w:cs="Times New Roman"/>
        </w:rPr>
        <w:t>s such as</w:t>
      </w:r>
      <w:r w:rsidR="00FA5DAB">
        <w:rPr>
          <w:rFonts w:ascii="Times New Roman" w:hAnsi="Times New Roman" w:cs="Times New Roman"/>
        </w:rPr>
        <w:t xml:space="preserve"> the Brexit vote</w:t>
      </w:r>
      <w:r w:rsidR="00D500B8">
        <w:rPr>
          <w:rStyle w:val="FootnoteReference"/>
          <w:rFonts w:ascii="Times New Roman" w:hAnsi="Times New Roman" w:cs="Times New Roman"/>
        </w:rPr>
        <w:footnoteReference w:id="9"/>
      </w:r>
      <w:r w:rsidR="00884CBE">
        <w:rPr>
          <w:rFonts w:ascii="Times New Roman" w:hAnsi="Times New Roman" w:cs="Times New Roman"/>
        </w:rPr>
        <w:t xml:space="preserve"> </w:t>
      </w:r>
      <w:r w:rsidR="00FB08F5">
        <w:rPr>
          <w:rFonts w:ascii="Times New Roman" w:hAnsi="Times New Roman" w:cs="Times New Roman"/>
        </w:rPr>
        <w:t>but</w:t>
      </w:r>
      <w:r w:rsidR="00884CBE">
        <w:rPr>
          <w:rFonts w:ascii="Times New Roman" w:hAnsi="Times New Roman" w:cs="Times New Roman"/>
        </w:rPr>
        <w:t xml:space="preserve"> has </w:t>
      </w:r>
      <w:r w:rsidR="00185FBF">
        <w:rPr>
          <w:rFonts w:ascii="Times New Roman" w:hAnsi="Times New Roman" w:cs="Times New Roman"/>
        </w:rPr>
        <w:t>not</w:t>
      </w:r>
      <w:r w:rsidR="00884CBE">
        <w:rPr>
          <w:rFonts w:ascii="Times New Roman" w:hAnsi="Times New Roman" w:cs="Times New Roman"/>
        </w:rPr>
        <w:t xml:space="preserve"> been used </w:t>
      </w:r>
      <w:r w:rsidR="00404322">
        <w:rPr>
          <w:rFonts w:ascii="Times New Roman" w:hAnsi="Times New Roman" w:cs="Times New Roman"/>
        </w:rPr>
        <w:t xml:space="preserve">to: 1) model </w:t>
      </w:r>
      <w:r w:rsidR="00884CBE">
        <w:rPr>
          <w:rFonts w:ascii="Times New Roman" w:hAnsi="Times New Roman" w:cs="Times New Roman"/>
        </w:rPr>
        <w:t xml:space="preserve">European </w:t>
      </w:r>
      <w:r w:rsidR="00404322">
        <w:rPr>
          <w:rFonts w:ascii="Times New Roman" w:hAnsi="Times New Roman" w:cs="Times New Roman"/>
        </w:rPr>
        <w:t xml:space="preserve">preferences </w:t>
      </w:r>
      <w:r w:rsidR="00C17AC7">
        <w:rPr>
          <w:rFonts w:ascii="Times New Roman" w:hAnsi="Times New Roman" w:cs="Times New Roman"/>
        </w:rPr>
        <w:t>using</w:t>
      </w:r>
      <w:r w:rsidR="00404322">
        <w:rPr>
          <w:rFonts w:ascii="Times New Roman" w:hAnsi="Times New Roman" w:cs="Times New Roman"/>
        </w:rPr>
        <w:t xml:space="preserve"> a Bayesian framework and 2) correlate the findings with the voting behavior of Members of the European Parliament (MEPs)</w:t>
      </w:r>
      <w:r w:rsidR="00884CBE">
        <w:rPr>
          <w:rFonts w:ascii="Times New Roman" w:hAnsi="Times New Roman" w:cs="Times New Roman"/>
        </w:rPr>
        <w:t xml:space="preserve">. </w:t>
      </w:r>
    </w:p>
    <w:p w14:paraId="2BF0F768" w14:textId="6A8180F3" w:rsidR="006B0DCC" w:rsidRDefault="006B0DCC" w:rsidP="00D84A30">
      <w:pPr>
        <w:spacing w:line="480" w:lineRule="auto"/>
        <w:ind w:firstLine="360"/>
        <w:rPr>
          <w:rFonts w:ascii="Times New Roman" w:hAnsi="Times New Roman" w:cs="Times New Roman"/>
        </w:rPr>
      </w:pPr>
      <w:r>
        <w:rPr>
          <w:rFonts w:ascii="Times New Roman" w:hAnsi="Times New Roman" w:cs="Times New Roman"/>
        </w:rPr>
        <w:t>With Europe as the geographic area under study, research has so far focused on assessing the quality of predictions produced by MRP by comparing these sub-national level estimates with “true” values produced by the few surveys that do measure sub-national opinions. For instance, using Eurobarometer polling data, Todshov finds that MRP usually performs well in replicating “true” preferences, but that “</w:t>
      </w:r>
      <w:r w:rsidRPr="006560FC">
        <w:rPr>
          <w:rFonts w:ascii="Times New Roman" w:hAnsi="Times New Roman" w:cs="Times New Roman"/>
        </w:rPr>
        <w:t>the approach is less capable of reconstructing the relative rankings of the country means and hitting the range of plausible values of the individual state means</w:t>
      </w:r>
      <w:r>
        <w:rPr>
          <w:rStyle w:val="FootnoteReference"/>
          <w:rFonts w:ascii="Times New Roman" w:hAnsi="Times New Roman" w:cs="Times New Roman"/>
          <w:vertAlign w:val="baseline"/>
        </w:rPr>
        <w:t>”</w:t>
      </w:r>
      <w:r>
        <w:rPr>
          <w:rStyle w:val="FootnoteReference"/>
          <w:rFonts w:ascii="Times New Roman" w:hAnsi="Times New Roman" w:cs="Times New Roman"/>
        </w:rPr>
        <w:footnoteReference w:id="10"/>
      </w:r>
      <w:r>
        <w:rPr>
          <w:rFonts w:ascii="Times New Roman" w:hAnsi="Times New Roman" w:cs="Times New Roman"/>
        </w:rPr>
        <w:t>. He also highlights the importance of including country level predictors in the multilevel models. Lipp and Schraff conduct a similar study, this time comparing the performance of different methods and algorithms, including disaggregation, “classical” MRP, synthetic MRP (as developed by Leemann and Westfallen)</w:t>
      </w:r>
      <w:r>
        <w:rPr>
          <w:rStyle w:val="FootnoteReference"/>
          <w:rFonts w:ascii="Times New Roman" w:hAnsi="Times New Roman" w:cs="Times New Roman"/>
        </w:rPr>
        <w:footnoteReference w:id="11"/>
      </w:r>
      <w:r>
        <w:rPr>
          <w:rFonts w:ascii="Times New Roman" w:hAnsi="Times New Roman" w:cs="Times New Roman"/>
        </w:rPr>
        <w:t>, and Bayesian Additive Regression Trees (BART). They conclude that synthetic MRP and BART perform best.</w:t>
      </w:r>
      <w:r>
        <w:rPr>
          <w:rStyle w:val="FootnoteReference"/>
          <w:rFonts w:ascii="Times New Roman" w:hAnsi="Times New Roman" w:cs="Times New Roman"/>
        </w:rPr>
        <w:footnoteReference w:id="12"/>
      </w:r>
      <w:r>
        <w:rPr>
          <w:rFonts w:ascii="Times New Roman" w:hAnsi="Times New Roman" w:cs="Times New Roman"/>
        </w:rPr>
        <w:t xml:space="preserve"> However, their analysis relies on Frequentist point estimation, while I am interested in augmenting my analysis with the inclusion of priors, as well as deriving the full posterior distribution of the estimated preferences, for instance by using the Stan programming language.</w:t>
      </w:r>
      <w:r>
        <w:rPr>
          <w:rStyle w:val="FootnoteReference"/>
          <w:rFonts w:ascii="Times New Roman" w:hAnsi="Times New Roman" w:cs="Times New Roman"/>
        </w:rPr>
        <w:footnoteReference w:id="13"/>
      </w:r>
    </w:p>
    <w:p w14:paraId="7C71013C" w14:textId="2B91D57D" w:rsidR="00C9697A" w:rsidRDefault="009C4A00" w:rsidP="009C4A00">
      <w:pPr>
        <w:pStyle w:val="NormalWeb"/>
        <w:spacing w:line="480" w:lineRule="auto"/>
        <w:rPr>
          <w:b/>
          <w:bCs/>
        </w:rPr>
      </w:pPr>
      <w:r>
        <w:rPr>
          <w:b/>
          <w:bCs/>
        </w:rPr>
        <w:lastRenderedPageBreak/>
        <w:t>Data and Methods</w:t>
      </w:r>
    </w:p>
    <w:p w14:paraId="6F6EF26E" w14:textId="77777777" w:rsidR="0083282F" w:rsidRDefault="0083282F" w:rsidP="0083282F">
      <w:pPr>
        <w:spacing w:line="480" w:lineRule="auto"/>
        <w:ind w:firstLine="360"/>
        <w:rPr>
          <w:rFonts w:ascii="Times New Roman" w:hAnsi="Times New Roman" w:cs="Times New Roman"/>
        </w:rPr>
      </w:pPr>
      <w:r>
        <w:rPr>
          <w:rFonts w:ascii="Times New Roman" w:hAnsi="Times New Roman" w:cs="Times New Roman"/>
        </w:rPr>
        <w:t xml:space="preserve">MRP is a method that can be used to estimate subnational (or regional) preferences using nationally representative survey data, using partial pooling (random/mixed effects) where ‘small’ units (such as individual voters) reside within ‘big’ units (congressional districts, U.S. states, European countries) to increase the accuracy of the model fit. </w:t>
      </w:r>
    </w:p>
    <w:p w14:paraId="0E5754DC" w14:textId="77777777" w:rsidR="0083282F" w:rsidRDefault="0083282F" w:rsidP="0083282F">
      <w:pPr>
        <w:spacing w:line="480" w:lineRule="auto"/>
        <w:ind w:firstLine="360"/>
        <w:rPr>
          <w:rFonts w:ascii="Times New Roman" w:hAnsi="Times New Roman" w:cs="Times New Roman"/>
        </w:rPr>
      </w:pPr>
      <w:r>
        <w:rPr>
          <w:rFonts w:ascii="Times New Roman" w:hAnsi="Times New Roman" w:cs="Times New Roman"/>
        </w:rPr>
        <w:t>The idea is that ‘small’ units have idiosyncratic features unique to the particular ‘big’ unit they reside in, but also have characteristics with other similar ‘small’ units across all of the ‘big’ units in the sample</w:t>
      </w:r>
      <w:r>
        <w:rPr>
          <w:rStyle w:val="FootnoteReference"/>
          <w:rFonts w:ascii="Times New Roman" w:hAnsi="Times New Roman" w:cs="Times New Roman"/>
        </w:rPr>
        <w:footnoteReference w:id="14"/>
      </w:r>
      <w:r>
        <w:rPr>
          <w:rFonts w:ascii="Times New Roman" w:hAnsi="Times New Roman" w:cs="Times New Roman"/>
        </w:rPr>
        <w:t xml:space="preserve">. For example, a 20-year-old university educated male in the Ile-de-France region of France will have unique characteristics that he shares with other individuals living in that region, but will also have shared features with 20-year-old educated males in the London region of the U.K. and the North-West region of Italy. Therefore, the first stage of the analysis consists of fitting a multilevel regression on a survey response – for instance support for a certain policy such as abortion restriction or environment regulation using individual level predictors for the ‘small’ unit and predictors for the ‘bigger’ units. The choice of predictors for the bigger units depends on the question under study. For instance, a model analyzing survey responses on attitudes towards abortion might want to include the share of Catholic individuals in the states under study, and a question asking about attitudes towards environmental regulations might want to include the percentage of employment tied to the fossil fuel industry in the states under study. </w:t>
      </w:r>
    </w:p>
    <w:p w14:paraId="14B7EF95" w14:textId="1B84F9AF" w:rsidR="0083282F" w:rsidRPr="001B75DE" w:rsidRDefault="0083282F" w:rsidP="001B75DE">
      <w:pPr>
        <w:spacing w:line="480" w:lineRule="auto"/>
        <w:ind w:firstLine="360"/>
        <w:rPr>
          <w:rFonts w:ascii="Times New Roman" w:hAnsi="Times New Roman" w:cs="Times New Roman"/>
        </w:rPr>
      </w:pPr>
      <w:r>
        <w:rPr>
          <w:rFonts w:ascii="Times New Roman" w:hAnsi="Times New Roman" w:cs="Times New Roman"/>
        </w:rPr>
        <w:t xml:space="preserve">Once the initial model is fit, the poststratification step consists of using census data to tabulate the actual distribution of the individual level predictors in the population (i.e. counting all of the 20-year-old university educated males in all regions, and then all of the 20-year-old </w:t>
      </w:r>
      <w:r>
        <w:rPr>
          <w:rFonts w:ascii="Times New Roman" w:hAnsi="Times New Roman" w:cs="Times New Roman"/>
        </w:rPr>
        <w:lastRenderedPageBreak/>
        <w:t>university educated females and so on, for all combination of categories included in the model). These distributions are used as weights to estimate the attitude for the ‘big’ units under study.</w:t>
      </w:r>
      <w:r>
        <w:rPr>
          <w:rStyle w:val="FootnoteReference"/>
          <w:rFonts w:ascii="Times New Roman" w:hAnsi="Times New Roman" w:cs="Times New Roman"/>
        </w:rPr>
        <w:footnoteReference w:id="15"/>
      </w:r>
      <w:r>
        <w:rPr>
          <w:rFonts w:ascii="Times New Roman" w:hAnsi="Times New Roman" w:cs="Times New Roman"/>
        </w:rPr>
        <w:t xml:space="preserve"> </w:t>
      </w:r>
    </w:p>
    <w:p w14:paraId="70DC61D1" w14:textId="1C531597" w:rsidR="00192A7A" w:rsidRDefault="00192A7A" w:rsidP="00264934">
      <w:pPr>
        <w:pStyle w:val="NormalWeb"/>
        <w:spacing w:line="480" w:lineRule="auto"/>
        <w:ind w:firstLine="360"/>
      </w:pPr>
      <w:r w:rsidRPr="00511D94">
        <w:t>After conducting the preference estimation using MRP, the second step of the analysis will be to correlate them with roll call votes at the E.U. Parliament. There are two main ways that countries can send elected representatives to the E.U. Parliament: by electing national or regional representatives.</w:t>
      </w:r>
      <w:r w:rsidRPr="00511D94">
        <w:rPr>
          <w:rStyle w:val="FootnoteReference"/>
        </w:rPr>
        <w:footnoteReference w:id="16"/>
      </w:r>
      <w:r w:rsidRPr="00511D94">
        <w:t xml:space="preserve"> In the former, citizens cast their votes for delegates representing a political party and the nationwide results are aggregated and tallied using proportional representation. In the latter, votes are split between electoral constituencies - voters cast ballots for political parties represented at the regional level. My work will focus on the latter case in order to give a form of external validity to the work done by Lax &amp; Phillips, where individual attitudes were correlated with U.S. Senate roll call votes</w:t>
      </w:r>
      <w:r w:rsidRPr="00511D94">
        <w:rPr>
          <w:rStyle w:val="FootnoteReference"/>
        </w:rPr>
        <w:footnoteReference w:id="17"/>
      </w:r>
      <w:r w:rsidRPr="00511D94">
        <w:t xml:space="preserve">. As such, I will assess the subnational preferences of E.U. citizens in 3 countries that have regional constituencies at the E.U. Parliament: France (before 2019), the United Kingdom (before Brexit in 2016) and Italy. Additionally, I could assess the relationship between individual voters and their representatives at the </w:t>
      </w:r>
      <w:r w:rsidRPr="00511D94">
        <w:rPr>
          <w:i/>
          <w:iCs/>
        </w:rPr>
        <w:t xml:space="preserve">national </w:t>
      </w:r>
      <w:r w:rsidRPr="00511D94">
        <w:t xml:space="preserve">level as a form of comparison. An option would be to use MRP, but Buttice and Highton note that this comes with some caveats: “the key factors we have identified that determine how well MRP performs are the strength of the geographic-level covariates included in the multilevel model of opinion and the ratio of opinion variation across geographic units relative to opinion variation within units When these values are sizable, then MRP will often produce reliable estimates from national surveys of conventional size. However, the empirical analysis suggests that often these conditions will not </w:t>
      </w:r>
      <w:r w:rsidRPr="00511D94">
        <w:lastRenderedPageBreak/>
        <w:t>be satisfied</w:t>
      </w:r>
      <w:r>
        <w:t>”</w:t>
      </w:r>
      <w:r>
        <w:rPr>
          <w:rStyle w:val="FootnoteReference"/>
          <w:rFonts w:ascii="AdvTimes" w:hAnsi="AdvTimes"/>
          <w:szCs w:val="22"/>
        </w:rPr>
        <w:footnoteReference w:id="18"/>
      </w:r>
      <w:r>
        <w:t>. In the context of my thesis, I will be working with multiple surveys, and often with sample sizes that are large enough to palliate those issues so I am not concerned about this, a priori.</w:t>
      </w:r>
    </w:p>
    <w:p w14:paraId="28284BBB" w14:textId="7724E268" w:rsidR="00220D96" w:rsidRPr="00DB27CA" w:rsidRDefault="008E7A80" w:rsidP="00DB27CA">
      <w:pPr>
        <w:pStyle w:val="NormalWeb"/>
        <w:spacing w:line="480" w:lineRule="auto"/>
        <w:ind w:firstLine="360"/>
        <w:rPr>
          <w:b/>
          <w:bCs/>
        </w:rPr>
      </w:pPr>
      <w:r>
        <w:t>As such, m</w:t>
      </w:r>
      <w:r w:rsidR="00220D96">
        <w:t>y thesis will need 3 pieces of data:</w:t>
      </w:r>
    </w:p>
    <w:p w14:paraId="2CEDFDA8" w14:textId="77777777" w:rsidR="00220D96" w:rsidRDefault="00220D96" w:rsidP="00220D96">
      <w:pPr>
        <w:pStyle w:val="ListParagraph"/>
        <w:numPr>
          <w:ilvl w:val="0"/>
          <w:numId w:val="1"/>
        </w:numPr>
        <w:rPr>
          <w:rFonts w:ascii="Times New Roman" w:hAnsi="Times New Roman" w:cs="Times New Roman"/>
        </w:rPr>
      </w:pPr>
      <w:r>
        <w:rPr>
          <w:rFonts w:ascii="Times New Roman" w:hAnsi="Times New Roman" w:cs="Times New Roman"/>
          <w:b/>
          <w:bCs/>
        </w:rPr>
        <w:t>Survey data for the target countries</w:t>
      </w:r>
      <w:r>
        <w:rPr>
          <w:rFonts w:ascii="Times New Roman" w:hAnsi="Times New Roman" w:cs="Times New Roman"/>
        </w:rPr>
        <w:t xml:space="preserve"> (preference estimation)</w:t>
      </w:r>
    </w:p>
    <w:p w14:paraId="4128DCC4" w14:textId="77777777" w:rsidR="00220D96" w:rsidRDefault="00220D96" w:rsidP="00381095">
      <w:pPr>
        <w:spacing w:line="480" w:lineRule="auto"/>
        <w:rPr>
          <w:rFonts w:ascii="Times New Roman" w:hAnsi="Times New Roman" w:cs="Times New Roman"/>
        </w:rPr>
      </w:pPr>
    </w:p>
    <w:p w14:paraId="57AA10A9" w14:textId="77777777" w:rsidR="00220D96" w:rsidRDefault="00220D96" w:rsidP="00381095">
      <w:pPr>
        <w:spacing w:line="480" w:lineRule="auto"/>
        <w:rPr>
          <w:rFonts w:ascii="Times New Roman" w:hAnsi="Times New Roman" w:cs="Times New Roman"/>
        </w:rPr>
      </w:pPr>
      <w:r>
        <w:rPr>
          <w:rFonts w:ascii="Times New Roman" w:hAnsi="Times New Roman" w:cs="Times New Roman"/>
        </w:rPr>
        <w:t xml:space="preserve">The survey data will mainly come from Eurobarometer. </w:t>
      </w:r>
    </w:p>
    <w:p w14:paraId="324E0BD9" w14:textId="77777777" w:rsidR="00220D96" w:rsidRDefault="00220D96" w:rsidP="00381095">
      <w:pPr>
        <w:spacing w:line="480" w:lineRule="auto"/>
        <w:rPr>
          <w:rFonts w:ascii="Times New Roman" w:hAnsi="Times New Roman" w:cs="Times New Roman"/>
        </w:rPr>
      </w:pPr>
      <w:r>
        <w:rPr>
          <w:rFonts w:ascii="Times New Roman" w:hAnsi="Times New Roman" w:cs="Times New Roman"/>
        </w:rPr>
        <w:t xml:space="preserve">The Flash Eurobarometer surveys have a lot of survey questions about special subjects (the environment, EU integration, LQBTQ+ policies etc.). </w:t>
      </w:r>
      <w:hyperlink r:id="rId8" w:history="1">
        <w:r w:rsidRPr="00333FFD">
          <w:rPr>
            <w:rStyle w:val="Hyperlink"/>
            <w:rFonts w:ascii="Times New Roman" w:hAnsi="Times New Roman" w:cs="Times New Roman"/>
          </w:rPr>
          <w:t>https://www.gesis.org/en/eurobarometer-data-service/survey-series/flash-eb</w:t>
        </w:r>
      </w:hyperlink>
    </w:p>
    <w:p w14:paraId="408CF6F2" w14:textId="77777777" w:rsidR="00381095" w:rsidRDefault="00220D96" w:rsidP="00381095">
      <w:pPr>
        <w:spacing w:line="480" w:lineRule="auto"/>
        <w:rPr>
          <w:rFonts w:ascii="Times New Roman" w:hAnsi="Times New Roman" w:cs="Times New Roman"/>
        </w:rPr>
      </w:pPr>
      <w:r>
        <w:rPr>
          <w:rFonts w:ascii="Times New Roman" w:hAnsi="Times New Roman" w:cs="Times New Roman"/>
        </w:rPr>
        <w:t xml:space="preserve">Regular Eurobarometer polls also have the advantage of including data at the NUTS3 subnational unit, which will be invaluable to cross-validate the preferences obtained via MRP (by comparing MRP and disaggregated preferences). </w:t>
      </w:r>
    </w:p>
    <w:p w14:paraId="046C55AB" w14:textId="47591BD1" w:rsidR="00220D96" w:rsidRDefault="00220D96" w:rsidP="00381095">
      <w:pPr>
        <w:spacing w:line="480" w:lineRule="auto"/>
        <w:rPr>
          <w:rFonts w:ascii="Times New Roman" w:hAnsi="Times New Roman" w:cs="Times New Roman"/>
        </w:rPr>
      </w:pPr>
      <w:r>
        <w:rPr>
          <w:rFonts w:ascii="Times New Roman" w:hAnsi="Times New Roman" w:cs="Times New Roman"/>
        </w:rPr>
        <w:t>A list of all previous Eurobarometer reports can be found here:</w:t>
      </w:r>
      <w:r w:rsidR="00381095">
        <w:rPr>
          <w:rFonts w:ascii="Times New Roman" w:hAnsi="Times New Roman" w:cs="Times New Roman"/>
        </w:rPr>
        <w:t xml:space="preserve"> </w:t>
      </w:r>
      <w:hyperlink r:id="rId9" w:history="1">
        <w:r w:rsidRPr="00333FFD">
          <w:rPr>
            <w:rStyle w:val="Hyperlink"/>
            <w:rFonts w:ascii="Times New Roman" w:hAnsi="Times New Roman" w:cs="Times New Roman"/>
          </w:rPr>
          <w:t>https://dbk.gesis.org/dbksearch/gdesc2.asp?no=0008&amp;search=&amp;search2=&amp;db=e&amp;tab=0&amp;notabs=&amp;nf=1&amp;af=&amp;ll=10</w:t>
        </w:r>
      </w:hyperlink>
    </w:p>
    <w:p w14:paraId="4B1F2550" w14:textId="77777777" w:rsidR="00220D96" w:rsidRDefault="00220D96" w:rsidP="00220D96">
      <w:pPr>
        <w:ind w:left="360"/>
        <w:rPr>
          <w:rFonts w:ascii="Times New Roman" w:hAnsi="Times New Roman" w:cs="Times New Roman"/>
        </w:rPr>
      </w:pPr>
    </w:p>
    <w:p w14:paraId="04E73DA4" w14:textId="77777777" w:rsidR="00220D96" w:rsidRDefault="00220D96" w:rsidP="00381095">
      <w:pPr>
        <w:spacing w:line="480" w:lineRule="auto"/>
        <w:ind w:firstLine="360"/>
        <w:rPr>
          <w:rFonts w:ascii="Times New Roman" w:hAnsi="Times New Roman" w:cs="Times New Roman"/>
        </w:rPr>
      </w:pPr>
      <w:r>
        <w:rPr>
          <w:rFonts w:ascii="Times New Roman" w:hAnsi="Times New Roman" w:cs="Times New Roman"/>
        </w:rPr>
        <w:t xml:space="preserve">There are many different datasets spanning the recent years, but my analysis will probably focus on surveys conducted in the 2010s. Eurobarometer polls are known for being rigorously constructed and have often been used in the literature I have reviewed, therefore I don’t anticipate sampling or missing data to be major issues. All Eurobarometer polls have an adequate </w:t>
      </w:r>
      <w:r>
        <w:rPr>
          <w:rFonts w:ascii="Times New Roman" w:hAnsi="Times New Roman" w:cs="Times New Roman"/>
        </w:rPr>
        <w:lastRenderedPageBreak/>
        <w:t>amount of respondents for the countries I am interested in working with, and there is always the possibility of aggregating different polls to facilitate preference estimation.</w:t>
      </w:r>
    </w:p>
    <w:p w14:paraId="36346C4F" w14:textId="77777777" w:rsidR="00220D96" w:rsidRDefault="00220D96" w:rsidP="00220D96">
      <w:pPr>
        <w:ind w:left="360"/>
        <w:rPr>
          <w:rFonts w:ascii="Times New Roman" w:hAnsi="Times New Roman" w:cs="Times New Roman"/>
        </w:rPr>
      </w:pPr>
    </w:p>
    <w:p w14:paraId="142BE13A" w14:textId="77777777" w:rsidR="00220D96" w:rsidRPr="0039195E" w:rsidRDefault="00220D96" w:rsidP="00220D96">
      <w:pPr>
        <w:ind w:left="360"/>
        <w:rPr>
          <w:rFonts w:ascii="Times New Roman" w:hAnsi="Times New Roman" w:cs="Times New Roman"/>
        </w:rPr>
      </w:pPr>
    </w:p>
    <w:p w14:paraId="726C2F55" w14:textId="77777777" w:rsidR="00220D96" w:rsidRPr="0039195E" w:rsidRDefault="00220D96" w:rsidP="00220D96">
      <w:pPr>
        <w:pStyle w:val="ListParagraph"/>
        <w:numPr>
          <w:ilvl w:val="0"/>
          <w:numId w:val="1"/>
        </w:numPr>
        <w:rPr>
          <w:rFonts w:ascii="Times New Roman" w:hAnsi="Times New Roman" w:cs="Times New Roman"/>
        </w:rPr>
      </w:pPr>
      <w:r>
        <w:rPr>
          <w:rFonts w:ascii="Times New Roman" w:hAnsi="Times New Roman" w:cs="Times New Roman"/>
          <w:b/>
          <w:bCs/>
        </w:rPr>
        <w:t xml:space="preserve">Census data (for postratification) </w:t>
      </w:r>
    </w:p>
    <w:p w14:paraId="3B60B1BC" w14:textId="77777777" w:rsidR="00220D96" w:rsidRDefault="00220D96" w:rsidP="00220D96">
      <w:pPr>
        <w:rPr>
          <w:rFonts w:ascii="Times New Roman" w:hAnsi="Times New Roman" w:cs="Times New Roman"/>
        </w:rPr>
      </w:pPr>
    </w:p>
    <w:p w14:paraId="078F5BD5" w14:textId="77777777" w:rsidR="00220D96" w:rsidRDefault="00220D96" w:rsidP="003A5CD7">
      <w:pPr>
        <w:spacing w:line="480" w:lineRule="auto"/>
        <w:ind w:firstLine="360"/>
        <w:rPr>
          <w:rFonts w:ascii="Times New Roman" w:hAnsi="Times New Roman" w:cs="Times New Roman"/>
        </w:rPr>
      </w:pPr>
      <w:r>
        <w:rPr>
          <w:rFonts w:ascii="Times New Roman" w:hAnsi="Times New Roman" w:cs="Times New Roman"/>
        </w:rPr>
        <w:t>Post-stratifying involves readjusting preferences at the subnational level by calculating</w:t>
      </w:r>
    </w:p>
    <w:p w14:paraId="21C2A863" w14:textId="77777777" w:rsidR="00220D96" w:rsidRDefault="00220D96" w:rsidP="00EB048C">
      <w:pPr>
        <w:spacing w:line="480" w:lineRule="auto"/>
        <w:rPr>
          <w:rFonts w:ascii="Times New Roman" w:hAnsi="Times New Roman" w:cs="Times New Roman"/>
        </w:rPr>
      </w:pPr>
      <w:r>
        <w:rPr>
          <w:rFonts w:ascii="Times New Roman" w:hAnsi="Times New Roman" w:cs="Times New Roman"/>
        </w:rPr>
        <w:t xml:space="preserve">demographic weights. The literature I have reviewed uses 2011 census data available at </w:t>
      </w:r>
      <w:hyperlink r:id="rId10" w:history="1">
        <w:r w:rsidRPr="00333FFD">
          <w:rPr>
            <w:rStyle w:val="Hyperlink"/>
            <w:rFonts w:ascii="Times New Roman" w:hAnsi="Times New Roman" w:cs="Times New Roman"/>
          </w:rPr>
          <w:t>https://ec.europa.eu/eurostat/web/population-and-housing-census/census-data/2011-census</w:t>
        </w:r>
      </w:hyperlink>
    </w:p>
    <w:p w14:paraId="43C2A5AC" w14:textId="77777777" w:rsidR="00220D96" w:rsidRDefault="00220D96" w:rsidP="00EB048C">
      <w:pPr>
        <w:spacing w:line="480" w:lineRule="auto"/>
        <w:rPr>
          <w:rFonts w:ascii="Times New Roman" w:hAnsi="Times New Roman" w:cs="Times New Roman"/>
        </w:rPr>
      </w:pPr>
      <w:r>
        <w:rPr>
          <w:rFonts w:ascii="Times New Roman" w:hAnsi="Times New Roman" w:cs="Times New Roman"/>
        </w:rPr>
        <w:t xml:space="preserve">and there additional options to use 2001 census data as well (a more general link to census data in the EU: </w:t>
      </w:r>
      <w:hyperlink r:id="rId11" w:history="1">
        <w:r w:rsidRPr="00333FFD">
          <w:rPr>
            <w:rStyle w:val="Hyperlink"/>
            <w:rFonts w:ascii="Times New Roman" w:hAnsi="Times New Roman" w:cs="Times New Roman"/>
          </w:rPr>
          <w:t>https://ec.europa.eu/eurostat/web/population-and-housing-census/census-data/database</w:t>
        </w:r>
      </w:hyperlink>
      <w:r>
        <w:rPr>
          <w:rFonts w:ascii="Times New Roman" w:hAnsi="Times New Roman" w:cs="Times New Roman"/>
        </w:rPr>
        <w:t>)</w:t>
      </w:r>
    </w:p>
    <w:p w14:paraId="1D5A8ACF" w14:textId="77777777" w:rsidR="00220D96" w:rsidRPr="0039195E" w:rsidRDefault="00220D96" w:rsidP="00220D96">
      <w:pPr>
        <w:ind w:left="360"/>
        <w:rPr>
          <w:rFonts w:ascii="Times New Roman" w:hAnsi="Times New Roman" w:cs="Times New Roman"/>
        </w:rPr>
      </w:pPr>
    </w:p>
    <w:p w14:paraId="358BDA14" w14:textId="77777777" w:rsidR="00220D96" w:rsidRPr="00D1292F" w:rsidRDefault="00220D96" w:rsidP="00220D96">
      <w:pPr>
        <w:pStyle w:val="ListParagraph"/>
        <w:numPr>
          <w:ilvl w:val="0"/>
          <w:numId w:val="1"/>
        </w:numPr>
        <w:rPr>
          <w:rFonts w:ascii="Times New Roman" w:hAnsi="Times New Roman" w:cs="Times New Roman"/>
        </w:rPr>
      </w:pPr>
      <w:r>
        <w:rPr>
          <w:rFonts w:ascii="Times New Roman" w:hAnsi="Times New Roman" w:cs="Times New Roman"/>
          <w:b/>
          <w:bCs/>
        </w:rPr>
        <w:t>European Parliament Roll Call Votes</w:t>
      </w:r>
    </w:p>
    <w:p w14:paraId="5139F18E" w14:textId="77777777" w:rsidR="00220D96" w:rsidRDefault="00220D96" w:rsidP="00220D96">
      <w:pPr>
        <w:rPr>
          <w:rFonts w:ascii="Times New Roman" w:hAnsi="Times New Roman" w:cs="Times New Roman"/>
        </w:rPr>
      </w:pPr>
    </w:p>
    <w:p w14:paraId="36F4A895" w14:textId="77777777" w:rsidR="00220D96" w:rsidRDefault="00220D96" w:rsidP="00D8292E">
      <w:pPr>
        <w:spacing w:line="480" w:lineRule="auto"/>
        <w:ind w:firstLine="360"/>
        <w:rPr>
          <w:rFonts w:ascii="Times New Roman" w:hAnsi="Times New Roman" w:cs="Times New Roman"/>
        </w:rPr>
      </w:pPr>
      <w:r>
        <w:rPr>
          <w:rFonts w:ascii="Times New Roman" w:hAnsi="Times New Roman" w:cs="Times New Roman"/>
        </w:rPr>
        <w:t xml:space="preserve">Finally, the sub-national preferences will be correlated to MEP votes, which can be accessed in raw format at: </w:t>
      </w:r>
      <w:hyperlink r:id="rId12" w:history="1">
        <w:r w:rsidRPr="00333FFD">
          <w:rPr>
            <w:rStyle w:val="Hyperlink"/>
            <w:rFonts w:ascii="Times New Roman" w:hAnsi="Times New Roman" w:cs="Times New Roman"/>
          </w:rPr>
          <w:t>https://parltrack.org/dumps</w:t>
        </w:r>
      </w:hyperlink>
      <w:r>
        <w:rPr>
          <w:rFonts w:ascii="Times New Roman" w:hAnsi="Times New Roman" w:cs="Times New Roman"/>
        </w:rPr>
        <w:t xml:space="preserve"> (under the MEP Plenary votes tab). I have already started perusing the votes, and the format is quite unwieldy because the format is in a json file. Therefore I plan on using pre-made scorecards on MEP voting records to guide which legislation I should be looking at when analyzing votes: </w:t>
      </w:r>
      <w:hyperlink r:id="rId13" w:history="1">
        <w:r w:rsidRPr="00333FFD">
          <w:rPr>
            <w:rStyle w:val="Hyperlink"/>
            <w:rFonts w:ascii="Times New Roman" w:hAnsi="Times New Roman" w:cs="Times New Roman"/>
          </w:rPr>
          <w:t>http://www.caneurope.org/publications/blogs/718-mep-scorecards-ranking-european-parliamentarians-on-climate-action</w:t>
        </w:r>
      </w:hyperlink>
    </w:p>
    <w:p w14:paraId="4B96B5FC" w14:textId="64D07449" w:rsidR="00220D96" w:rsidRDefault="00220D96" w:rsidP="00403790">
      <w:pPr>
        <w:spacing w:line="480" w:lineRule="auto"/>
        <w:rPr>
          <w:rStyle w:val="Hyperlink"/>
          <w:rFonts w:ascii="Times New Roman" w:hAnsi="Times New Roman" w:cs="Times New Roman"/>
        </w:rPr>
      </w:pPr>
      <w:r>
        <w:fldChar w:fldCharType="begin"/>
      </w:r>
      <w:r>
        <w:instrText xml:space="preserve"> HYPERLINK "https://www.score-ep.org/" </w:instrText>
      </w:r>
      <w:r>
        <w:fldChar w:fldCharType="separate"/>
      </w:r>
      <w:r w:rsidRPr="00333FFD">
        <w:rPr>
          <w:rStyle w:val="Hyperlink"/>
          <w:rFonts w:ascii="Times New Roman" w:hAnsi="Times New Roman" w:cs="Times New Roman"/>
        </w:rPr>
        <w:t>https://www.score-ep.org/</w:t>
      </w:r>
      <w:r>
        <w:rPr>
          <w:rStyle w:val="Hyperlink"/>
          <w:rFonts w:ascii="Times New Roman" w:hAnsi="Times New Roman" w:cs="Times New Roman"/>
        </w:rPr>
        <w:fldChar w:fldCharType="end"/>
      </w:r>
    </w:p>
    <w:p w14:paraId="2C09F5C7" w14:textId="77777777" w:rsidR="00403790" w:rsidRDefault="00403790" w:rsidP="00403790">
      <w:pPr>
        <w:spacing w:line="480" w:lineRule="auto"/>
        <w:rPr>
          <w:rFonts w:ascii="Times New Roman" w:hAnsi="Times New Roman" w:cs="Times New Roman"/>
        </w:rPr>
      </w:pPr>
    </w:p>
    <w:p w14:paraId="07A9A789" w14:textId="3ACCFB46" w:rsidR="00627581" w:rsidRDefault="00220D96" w:rsidP="00403790">
      <w:pPr>
        <w:spacing w:line="480" w:lineRule="auto"/>
        <w:ind w:firstLine="360"/>
        <w:rPr>
          <w:rFonts w:ascii="Times New Roman" w:hAnsi="Times New Roman" w:cs="Times New Roman"/>
        </w:rPr>
      </w:pPr>
      <w:r>
        <w:rPr>
          <w:rFonts w:ascii="Times New Roman" w:hAnsi="Times New Roman" w:cs="Times New Roman"/>
        </w:rPr>
        <w:t>Once the votes are read in, they can be tallied and aggregated into an index score for an MEP’s performance on a certain issue. For instance, an MEP voting in favor of  environmental regulation will receive +1 on that vote, 0 if he abstains and -1 if he votes against it.</w:t>
      </w:r>
    </w:p>
    <w:p w14:paraId="44F8842F" w14:textId="77777777" w:rsidR="00F82582" w:rsidRPr="000D3324" w:rsidRDefault="00F82582" w:rsidP="00403790">
      <w:pPr>
        <w:rPr>
          <w:rFonts w:ascii="Times New Roman" w:hAnsi="Times New Roman" w:cs="Times New Roman"/>
        </w:rPr>
      </w:pPr>
    </w:p>
    <w:sectPr w:rsidR="00F82582" w:rsidRPr="000D3324" w:rsidSect="004930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F1F404" w14:textId="77777777" w:rsidR="00FC21D5" w:rsidRDefault="00FC21D5" w:rsidP="00EE6D0F">
      <w:r>
        <w:separator/>
      </w:r>
    </w:p>
  </w:endnote>
  <w:endnote w:type="continuationSeparator" w:id="0">
    <w:p w14:paraId="06A38092" w14:textId="77777777" w:rsidR="00FC21D5" w:rsidRDefault="00FC21D5" w:rsidP="00EE6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Time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8A119" w14:textId="77777777" w:rsidR="00FC21D5" w:rsidRDefault="00FC21D5" w:rsidP="00EE6D0F">
      <w:r>
        <w:separator/>
      </w:r>
    </w:p>
  </w:footnote>
  <w:footnote w:type="continuationSeparator" w:id="0">
    <w:p w14:paraId="065D5B29" w14:textId="77777777" w:rsidR="00FC21D5" w:rsidRDefault="00FC21D5" w:rsidP="00EE6D0F">
      <w:r>
        <w:continuationSeparator/>
      </w:r>
    </w:p>
  </w:footnote>
  <w:footnote w:id="1">
    <w:p w14:paraId="0FD90475" w14:textId="2CAC51E5" w:rsidR="00D2213C" w:rsidRDefault="00D2213C">
      <w:pPr>
        <w:pStyle w:val="FootnoteText"/>
      </w:pPr>
      <w:r>
        <w:rPr>
          <w:rStyle w:val="FootnoteReference"/>
        </w:rPr>
        <w:t>*</w:t>
      </w:r>
      <w:r>
        <w:t xml:space="preserve"> Sorry for the lazy title, I haven’t had the chance to find a witty pun yet.</w:t>
      </w:r>
    </w:p>
  </w:footnote>
  <w:footnote w:id="2">
    <w:p w14:paraId="7528F03B" w14:textId="1DA7D6D7" w:rsidR="00A4104E" w:rsidRPr="004D4B46" w:rsidRDefault="00A4104E" w:rsidP="000635D6">
      <w:pPr>
        <w:pStyle w:val="NoSpacing"/>
        <w:rPr>
          <w:sz w:val="20"/>
          <w:szCs w:val="20"/>
        </w:rPr>
      </w:pPr>
      <w:r w:rsidRPr="004D4B46">
        <w:rPr>
          <w:rStyle w:val="FootnoteReference"/>
          <w:rFonts w:cstheme="minorHAnsi"/>
          <w:sz w:val="20"/>
          <w:szCs w:val="20"/>
        </w:rPr>
        <w:footnoteRef/>
      </w:r>
      <w:r w:rsidRPr="004D4B46">
        <w:rPr>
          <w:sz w:val="20"/>
          <w:szCs w:val="20"/>
        </w:rPr>
        <w:t xml:space="preserve"> </w:t>
      </w:r>
      <w:r w:rsidRPr="004D4B46">
        <w:rPr>
          <w:sz w:val="20"/>
          <w:szCs w:val="20"/>
        </w:rPr>
        <w:t xml:space="preserve">Follesdal, A., &amp; Hix, S. (2006). Why There is a Democratic Deficit in the EU: A Response to Majone and Moravcsik. </w:t>
      </w:r>
      <w:r w:rsidRPr="004D4B46">
        <w:rPr>
          <w:i/>
          <w:iCs/>
          <w:sz w:val="20"/>
          <w:szCs w:val="20"/>
        </w:rPr>
        <w:t>JCMS: Journal of Common Market Studies,</w:t>
      </w:r>
      <w:r w:rsidRPr="004D4B46">
        <w:rPr>
          <w:sz w:val="20"/>
          <w:szCs w:val="20"/>
        </w:rPr>
        <w:t xml:space="preserve"> </w:t>
      </w:r>
      <w:r w:rsidRPr="004D4B46">
        <w:rPr>
          <w:i/>
          <w:iCs/>
          <w:sz w:val="20"/>
          <w:szCs w:val="20"/>
        </w:rPr>
        <w:t>44</w:t>
      </w:r>
      <w:r w:rsidRPr="004D4B46">
        <w:rPr>
          <w:sz w:val="20"/>
          <w:szCs w:val="20"/>
        </w:rPr>
        <w:t>(3), 533-562. doi:10.1111/j.1468-5965.2006.00650.x</w:t>
      </w:r>
    </w:p>
  </w:footnote>
  <w:footnote w:id="3">
    <w:p w14:paraId="137B184B" w14:textId="0A357DE2" w:rsidR="00A97CE5" w:rsidRPr="002D598D" w:rsidRDefault="00A97CE5" w:rsidP="002D598D">
      <w:pPr>
        <w:pStyle w:val="NoSpacing"/>
        <w:rPr>
          <w:sz w:val="20"/>
          <w:szCs w:val="20"/>
        </w:rPr>
      </w:pPr>
      <w:r w:rsidRPr="004D4B46">
        <w:rPr>
          <w:rStyle w:val="FootnoteReference"/>
          <w:sz w:val="20"/>
          <w:szCs w:val="20"/>
        </w:rPr>
        <w:footnoteRef/>
      </w:r>
      <w:r w:rsidRPr="004D4B46">
        <w:rPr>
          <w:sz w:val="20"/>
          <w:szCs w:val="20"/>
        </w:rPr>
        <w:t xml:space="preserve"> </w:t>
      </w:r>
      <w:r w:rsidRPr="004D4B46">
        <w:rPr>
          <w:sz w:val="20"/>
          <w:szCs w:val="20"/>
        </w:rPr>
        <w:t>Sternberg, J. (2018, February 16). The European Union's Democracy Deficit. Retrieved October 23, 2020, from https://www.wsj.com/articles/the-european-unions-democracy-deficit-1518739588</w:t>
      </w:r>
    </w:p>
  </w:footnote>
  <w:footnote w:id="4">
    <w:p w14:paraId="698C55B0" w14:textId="2DF424D3" w:rsidR="002D598D" w:rsidRPr="002D598D" w:rsidRDefault="002D598D" w:rsidP="002D598D">
      <w:pPr>
        <w:pStyle w:val="NoSpacing"/>
        <w:rPr>
          <w:sz w:val="21"/>
          <w:szCs w:val="21"/>
        </w:rPr>
      </w:pPr>
      <w:r w:rsidRPr="002D598D">
        <w:rPr>
          <w:rStyle w:val="FootnoteReference"/>
          <w:sz w:val="21"/>
          <w:szCs w:val="21"/>
        </w:rPr>
        <w:footnoteRef/>
      </w:r>
      <w:r w:rsidRPr="002D598D">
        <w:rPr>
          <w:sz w:val="21"/>
          <w:szCs w:val="21"/>
        </w:rPr>
        <w:t xml:space="preserve"> </w:t>
      </w:r>
      <w:r w:rsidRPr="002D598D">
        <w:rPr>
          <w:sz w:val="21"/>
          <w:szCs w:val="21"/>
        </w:rPr>
        <w:t>Alemanno, A. (2020, January 21). The EU won't fix its democratic deficit with another top-down 'conference'</w:t>
      </w:r>
      <w:r w:rsidRPr="002D598D">
        <w:rPr>
          <w:sz w:val="21"/>
          <w:szCs w:val="21"/>
        </w:rPr>
        <w:t xml:space="preserve">. </w:t>
      </w:r>
      <w:r w:rsidRPr="002D598D">
        <w:rPr>
          <w:sz w:val="21"/>
          <w:szCs w:val="21"/>
        </w:rPr>
        <w:t>Retrieved October 23, 2020, from https://www.theguardian.com/commentisfree/2020/jan/21/eu-democratic-deficit-top-down-conference-verhofstadt</w:t>
      </w:r>
    </w:p>
    <w:p w14:paraId="6EFEEACE" w14:textId="47C02843" w:rsidR="002D598D" w:rsidRDefault="002D598D">
      <w:pPr>
        <w:pStyle w:val="FootnoteText"/>
      </w:pPr>
    </w:p>
  </w:footnote>
  <w:footnote w:id="5">
    <w:p w14:paraId="3EDC6471" w14:textId="116B7E76" w:rsidR="00212EF2" w:rsidRDefault="00212EF2" w:rsidP="00212EF2">
      <w:pPr>
        <w:pStyle w:val="NoSpacing"/>
      </w:pPr>
      <w:r w:rsidRPr="00B849EA">
        <w:rPr>
          <w:rStyle w:val="FootnoteReference"/>
          <w:sz w:val="20"/>
          <w:szCs w:val="20"/>
        </w:rPr>
        <w:footnoteRef/>
      </w:r>
      <w:r w:rsidRPr="00B849EA">
        <w:rPr>
          <w:sz w:val="20"/>
          <w:szCs w:val="20"/>
        </w:rPr>
        <w:t xml:space="preserve"> </w:t>
      </w:r>
      <w:r w:rsidRPr="00212EF2">
        <w:rPr>
          <w:sz w:val="20"/>
          <w:szCs w:val="20"/>
        </w:rPr>
        <w:t xml:space="preserve">Gao, Y., Kennedy, L., Simpson, D., &amp; Gelman, A. (2020). Improving Multilevel Regression and Poststratification with Structured Priors. </w:t>
      </w:r>
      <w:r w:rsidRPr="00212EF2">
        <w:rPr>
          <w:i/>
          <w:iCs/>
          <w:sz w:val="20"/>
          <w:szCs w:val="20"/>
        </w:rPr>
        <w:t>Bayesian Analysis</w:t>
      </w:r>
      <w:r w:rsidRPr="00212EF2">
        <w:rPr>
          <w:sz w:val="20"/>
          <w:szCs w:val="20"/>
        </w:rPr>
        <w:t xml:space="preserve">. https://doi.org/10.1214/20-ba1223 </w:t>
      </w:r>
    </w:p>
  </w:footnote>
  <w:footnote w:id="6">
    <w:p w14:paraId="0A13D8D0" w14:textId="47735ACF" w:rsidR="0093652B" w:rsidRPr="005E1E9F" w:rsidRDefault="0093652B" w:rsidP="0094158F">
      <w:pPr>
        <w:pStyle w:val="NoSpacing"/>
        <w:rPr>
          <w:sz w:val="20"/>
          <w:szCs w:val="20"/>
        </w:rPr>
      </w:pPr>
      <w:r w:rsidRPr="005E1E9F">
        <w:rPr>
          <w:rStyle w:val="FootnoteReference"/>
          <w:sz w:val="20"/>
          <w:szCs w:val="20"/>
        </w:rPr>
        <w:footnoteRef/>
      </w:r>
      <w:r w:rsidRPr="005E1E9F">
        <w:rPr>
          <w:sz w:val="20"/>
          <w:szCs w:val="20"/>
        </w:rPr>
        <w:t xml:space="preserve"> Lax, J. R., &amp; Phillips, J. H. (2009). How Should We Estimate Public Opinion in The States?</w:t>
      </w:r>
      <w:r w:rsidR="005402A7" w:rsidRPr="005E1E9F">
        <w:rPr>
          <w:sz w:val="20"/>
          <w:szCs w:val="20"/>
        </w:rPr>
        <w:t xml:space="preserve"> </w:t>
      </w:r>
      <w:r w:rsidRPr="005E1E9F">
        <w:rPr>
          <w:i/>
          <w:iCs/>
          <w:sz w:val="20"/>
          <w:szCs w:val="20"/>
        </w:rPr>
        <w:t>American Journal of Political Science</w:t>
      </w:r>
      <w:r w:rsidRPr="005E1E9F">
        <w:rPr>
          <w:sz w:val="20"/>
          <w:szCs w:val="20"/>
        </w:rPr>
        <w:t xml:space="preserve">, 53(1), 107–121. https://doi.org/10.1111/j.1540-5907.2008.00360.x </w:t>
      </w:r>
    </w:p>
  </w:footnote>
  <w:footnote w:id="7">
    <w:p w14:paraId="1DA846D0" w14:textId="354B8C47" w:rsidR="002D58EC" w:rsidRPr="005E1E9F" w:rsidRDefault="002D58EC" w:rsidP="0094158F">
      <w:pPr>
        <w:pStyle w:val="NoSpacing"/>
        <w:rPr>
          <w:sz w:val="20"/>
          <w:szCs w:val="20"/>
        </w:rPr>
      </w:pPr>
      <w:r w:rsidRPr="005E1E9F">
        <w:rPr>
          <w:rStyle w:val="FootnoteReference"/>
          <w:sz w:val="20"/>
          <w:szCs w:val="20"/>
        </w:rPr>
        <w:footnoteRef/>
      </w:r>
      <w:r w:rsidRPr="005E1E9F">
        <w:rPr>
          <w:sz w:val="20"/>
          <w:szCs w:val="20"/>
        </w:rPr>
        <w:t xml:space="preserve"> Lax, J. R., Phillips, J. H., &amp; Zelizer, A. (2019). The Party or the Purse? Unequal Representation in the US Senate. </w:t>
      </w:r>
      <w:r w:rsidRPr="005E1E9F">
        <w:rPr>
          <w:i/>
          <w:iCs/>
          <w:sz w:val="20"/>
          <w:szCs w:val="20"/>
        </w:rPr>
        <w:t>American Political Science Review</w:t>
      </w:r>
      <w:r w:rsidRPr="005E1E9F">
        <w:rPr>
          <w:sz w:val="20"/>
          <w:szCs w:val="20"/>
        </w:rPr>
        <w:t xml:space="preserve">, 113(4), 917–940. https://doi.org/10.1017/s0003055419000315 </w:t>
      </w:r>
    </w:p>
  </w:footnote>
  <w:footnote w:id="8">
    <w:p w14:paraId="1F2FF73A" w14:textId="360E5372" w:rsidR="007565B0" w:rsidRPr="005E1E9F" w:rsidRDefault="007565B0" w:rsidP="0094158F">
      <w:pPr>
        <w:pStyle w:val="NoSpacing"/>
        <w:rPr>
          <w:sz w:val="20"/>
          <w:szCs w:val="20"/>
        </w:rPr>
      </w:pPr>
      <w:r w:rsidRPr="005E1E9F">
        <w:rPr>
          <w:rStyle w:val="FootnoteReference"/>
          <w:sz w:val="20"/>
          <w:szCs w:val="20"/>
        </w:rPr>
        <w:footnoteRef/>
      </w:r>
      <w:r w:rsidRPr="005E1E9F">
        <w:rPr>
          <w:sz w:val="20"/>
          <w:szCs w:val="20"/>
        </w:rPr>
        <w:t xml:space="preserve"> Kastellec, J. P. (2016). Judicial Federalism and Representation. </w:t>
      </w:r>
      <w:r w:rsidRPr="005E1E9F">
        <w:rPr>
          <w:i/>
          <w:iCs/>
          <w:sz w:val="20"/>
          <w:szCs w:val="20"/>
        </w:rPr>
        <w:t>SSRN Electronic Journal</w:t>
      </w:r>
      <w:r w:rsidRPr="005E1E9F">
        <w:rPr>
          <w:sz w:val="20"/>
          <w:szCs w:val="20"/>
        </w:rPr>
        <w:t xml:space="preserve">. https://doi.org/10.2139/ssrn.2794194 </w:t>
      </w:r>
    </w:p>
  </w:footnote>
  <w:footnote w:id="9">
    <w:p w14:paraId="620DE75F" w14:textId="310158F3" w:rsidR="00D500B8" w:rsidRPr="005640A6" w:rsidRDefault="00D500B8" w:rsidP="0094158F">
      <w:pPr>
        <w:pStyle w:val="NoSpacing"/>
        <w:rPr>
          <w:rFonts w:eastAsia="Times New Roman" w:cstheme="minorHAnsi"/>
        </w:rPr>
      </w:pPr>
      <w:r w:rsidRPr="005640A6">
        <w:rPr>
          <w:rStyle w:val="FootnoteReference"/>
          <w:rFonts w:cstheme="minorHAnsi"/>
          <w:sz w:val="20"/>
          <w:szCs w:val="20"/>
        </w:rPr>
        <w:footnoteRef/>
      </w:r>
      <w:r w:rsidRPr="005640A6">
        <w:rPr>
          <w:rFonts w:cstheme="minorHAnsi"/>
          <w:sz w:val="20"/>
          <w:szCs w:val="20"/>
        </w:rPr>
        <w:t xml:space="preserve"> Introducing the YouGov Referendum Model | YouGov n.d. </w:t>
      </w:r>
      <w:hyperlink r:id="rId1" w:history="1">
        <w:r w:rsidRPr="005640A6">
          <w:rPr>
            <w:rStyle w:val="Hyperlink"/>
            <w:rFonts w:cstheme="minorHAnsi"/>
            <w:color w:val="auto"/>
            <w:sz w:val="20"/>
            <w:szCs w:val="20"/>
          </w:rPr>
          <w:t>https://yougov.co.uk/topics/politics/articles-reports/2016/06/21/yougov-referendum-model</w:t>
        </w:r>
      </w:hyperlink>
    </w:p>
  </w:footnote>
  <w:footnote w:id="10">
    <w:p w14:paraId="5C3AEA89" w14:textId="77777777" w:rsidR="006B0DCC" w:rsidRPr="005640A6" w:rsidRDefault="006B0DCC" w:rsidP="006B0DCC">
      <w:pPr>
        <w:rPr>
          <w:rFonts w:eastAsia="Times New Roman" w:cstheme="minorHAnsi"/>
          <w:sz w:val="20"/>
          <w:szCs w:val="20"/>
        </w:rPr>
      </w:pPr>
      <w:r w:rsidRPr="005640A6">
        <w:rPr>
          <w:rStyle w:val="FootnoteReference"/>
          <w:rFonts w:cstheme="minorHAnsi"/>
          <w:sz w:val="20"/>
          <w:szCs w:val="20"/>
        </w:rPr>
        <w:footnoteRef/>
      </w:r>
      <w:r w:rsidRPr="005640A6">
        <w:rPr>
          <w:rFonts w:cstheme="minorHAnsi"/>
          <w:sz w:val="20"/>
          <w:szCs w:val="20"/>
        </w:rPr>
        <w:t xml:space="preserve"> </w:t>
      </w:r>
      <w:r w:rsidRPr="005640A6">
        <w:rPr>
          <w:rFonts w:eastAsia="Times New Roman" w:cstheme="minorHAnsi"/>
          <w:color w:val="000000"/>
          <w:sz w:val="20"/>
          <w:szCs w:val="20"/>
          <w:shd w:val="clear" w:color="auto" w:fill="FFFFFF"/>
        </w:rPr>
        <w:t>Toshkov, D. (2015). Exploring the Performance of Multilevel Modeling and Poststratification with Eurobarometer Data. </w:t>
      </w:r>
      <w:r w:rsidRPr="005640A6">
        <w:rPr>
          <w:rFonts w:eastAsia="Times New Roman" w:cstheme="minorHAnsi"/>
          <w:i/>
          <w:iCs/>
          <w:color w:val="000000"/>
          <w:sz w:val="20"/>
          <w:szCs w:val="20"/>
          <w:shd w:val="clear" w:color="auto" w:fill="FFFFFF"/>
        </w:rPr>
        <w:t>Political Analysis,</w:t>
      </w:r>
      <w:r w:rsidRPr="005640A6">
        <w:rPr>
          <w:rFonts w:eastAsia="Times New Roman" w:cstheme="minorHAnsi"/>
          <w:color w:val="000000"/>
          <w:sz w:val="20"/>
          <w:szCs w:val="20"/>
          <w:shd w:val="clear" w:color="auto" w:fill="FFFFFF"/>
        </w:rPr>
        <w:t> </w:t>
      </w:r>
      <w:r w:rsidRPr="005640A6">
        <w:rPr>
          <w:rFonts w:eastAsia="Times New Roman" w:cstheme="minorHAnsi"/>
          <w:i/>
          <w:iCs/>
          <w:color w:val="000000"/>
          <w:sz w:val="20"/>
          <w:szCs w:val="20"/>
          <w:shd w:val="clear" w:color="auto" w:fill="FFFFFF"/>
        </w:rPr>
        <w:t>23</w:t>
      </w:r>
      <w:r w:rsidRPr="005640A6">
        <w:rPr>
          <w:rFonts w:eastAsia="Times New Roman" w:cstheme="minorHAnsi"/>
          <w:color w:val="000000"/>
          <w:sz w:val="20"/>
          <w:szCs w:val="20"/>
          <w:shd w:val="clear" w:color="auto" w:fill="FFFFFF"/>
        </w:rPr>
        <w:t>(3), 455-460. Retrieved October 7, 2020, from http://www.jstor.org/stable/24573172</w:t>
      </w:r>
    </w:p>
  </w:footnote>
  <w:footnote w:id="11">
    <w:p w14:paraId="5B447956" w14:textId="77777777" w:rsidR="006B0DCC" w:rsidRPr="007B414E" w:rsidRDefault="006B0DCC" w:rsidP="006B0DCC">
      <w:pPr>
        <w:rPr>
          <w:rFonts w:eastAsia="Times New Roman" w:cstheme="minorHAnsi"/>
          <w:color w:val="000000" w:themeColor="text1"/>
          <w:sz w:val="20"/>
          <w:szCs w:val="20"/>
        </w:rPr>
      </w:pPr>
      <w:r w:rsidRPr="007B414E">
        <w:rPr>
          <w:rStyle w:val="FootnoteReference"/>
          <w:rFonts w:cstheme="minorHAnsi"/>
          <w:color w:val="000000" w:themeColor="text1"/>
          <w:sz w:val="20"/>
          <w:szCs w:val="20"/>
        </w:rPr>
        <w:footnoteRef/>
      </w:r>
      <w:r w:rsidRPr="007B414E">
        <w:rPr>
          <w:rFonts w:cstheme="minorHAnsi"/>
          <w:color w:val="000000" w:themeColor="text1"/>
          <w:sz w:val="20"/>
          <w:szCs w:val="20"/>
        </w:rPr>
        <w:t xml:space="preserve"> </w:t>
      </w:r>
      <w:r w:rsidRPr="007B414E">
        <w:rPr>
          <w:rFonts w:eastAsia="Times New Roman" w:cstheme="minorHAnsi"/>
          <w:color w:val="000000" w:themeColor="text1"/>
          <w:sz w:val="20"/>
          <w:szCs w:val="20"/>
          <w:shd w:val="clear" w:color="auto" w:fill="FFFFFF"/>
        </w:rPr>
        <w:t>Leemann, L. and Wasserfallen, F. (2017), Extending the Use and Prediction Precision of Subnational Public Opinion Estimation. American Journal of Political Science, 61: 1003-1022. doi:</w:t>
      </w:r>
      <w:hyperlink r:id="rId2" w:history="1">
        <w:r w:rsidRPr="007B414E">
          <w:rPr>
            <w:rFonts w:eastAsia="Times New Roman" w:cstheme="minorHAnsi"/>
            <w:color w:val="000000" w:themeColor="text1"/>
            <w:sz w:val="20"/>
            <w:szCs w:val="20"/>
            <w:u w:val="single"/>
            <w:shd w:val="clear" w:color="auto" w:fill="FFFFFF"/>
          </w:rPr>
          <w:t>10.1111/ajps.12319</w:t>
        </w:r>
      </w:hyperlink>
    </w:p>
  </w:footnote>
  <w:footnote w:id="12">
    <w:p w14:paraId="6CEFC3D6" w14:textId="77777777" w:rsidR="006B0DCC" w:rsidRPr="007B414E" w:rsidRDefault="006B0DCC" w:rsidP="006B0DCC">
      <w:pPr>
        <w:pStyle w:val="FootnoteText"/>
        <w:rPr>
          <w:color w:val="000000" w:themeColor="text1"/>
        </w:rPr>
      </w:pPr>
      <w:r w:rsidRPr="007B414E">
        <w:rPr>
          <w:rStyle w:val="FootnoteReference"/>
          <w:rFonts w:cstheme="minorHAnsi"/>
          <w:color w:val="000000" w:themeColor="text1"/>
        </w:rPr>
        <w:footnoteRef/>
      </w:r>
      <w:r w:rsidRPr="007B414E">
        <w:rPr>
          <w:rFonts w:cstheme="minorHAnsi"/>
          <w:color w:val="000000" w:themeColor="text1"/>
        </w:rPr>
        <w:t xml:space="preserve"> Lipps, J., &amp; Schraff, D. (2019). Estimating subnational preferences across the European Union. Political Science Research and Methods, 1-9. doi:10.1017/psrm.2019.38</w:t>
      </w:r>
    </w:p>
  </w:footnote>
  <w:footnote w:id="13">
    <w:p w14:paraId="4538E2A7" w14:textId="77777777" w:rsidR="006B0DCC" w:rsidRPr="007B414E" w:rsidRDefault="006B0DCC" w:rsidP="006B0DCC">
      <w:pPr>
        <w:rPr>
          <w:rFonts w:eastAsia="Times New Roman" w:cstheme="minorHAnsi"/>
          <w:color w:val="000000" w:themeColor="text1"/>
          <w:sz w:val="20"/>
          <w:szCs w:val="20"/>
        </w:rPr>
      </w:pPr>
      <w:r w:rsidRPr="007B414E">
        <w:rPr>
          <w:rStyle w:val="FootnoteReference"/>
          <w:rFonts w:cstheme="minorHAnsi"/>
          <w:color w:val="000000" w:themeColor="text1"/>
          <w:sz w:val="20"/>
          <w:szCs w:val="20"/>
        </w:rPr>
        <w:footnoteRef/>
      </w:r>
      <w:r w:rsidRPr="007B414E">
        <w:rPr>
          <w:rFonts w:cstheme="minorHAnsi"/>
          <w:color w:val="000000" w:themeColor="text1"/>
          <w:sz w:val="20"/>
          <w:szCs w:val="20"/>
        </w:rPr>
        <w:t xml:space="preserve"> </w:t>
      </w:r>
      <w:r w:rsidRPr="007B414E">
        <w:rPr>
          <w:rFonts w:eastAsia="Times New Roman" w:cstheme="minorHAnsi"/>
          <w:color w:val="000000" w:themeColor="text1"/>
          <w:sz w:val="20"/>
          <w:szCs w:val="20"/>
          <w:shd w:val="clear" w:color="auto" w:fill="FFFFFF"/>
        </w:rPr>
        <w:t>Gelman, A., Lee, D., &amp; Guo, J. (2015). Stan: A Probabilistic Programming Language for Bayesian Inference and Optimization. </w:t>
      </w:r>
      <w:r w:rsidRPr="007B414E">
        <w:rPr>
          <w:rFonts w:eastAsia="Times New Roman" w:cstheme="minorHAnsi"/>
          <w:i/>
          <w:iCs/>
          <w:color w:val="000000" w:themeColor="text1"/>
          <w:sz w:val="20"/>
          <w:szCs w:val="20"/>
          <w:shd w:val="clear" w:color="auto" w:fill="FFFFFF"/>
        </w:rPr>
        <w:t>Journal of Educational and Behavioral Statistics,</w:t>
      </w:r>
      <w:r w:rsidRPr="007B414E">
        <w:rPr>
          <w:rFonts w:eastAsia="Times New Roman" w:cstheme="minorHAnsi"/>
          <w:color w:val="000000" w:themeColor="text1"/>
          <w:sz w:val="20"/>
          <w:szCs w:val="20"/>
          <w:shd w:val="clear" w:color="auto" w:fill="FFFFFF"/>
        </w:rPr>
        <w:t> </w:t>
      </w:r>
      <w:r w:rsidRPr="007B414E">
        <w:rPr>
          <w:rFonts w:eastAsia="Times New Roman" w:cstheme="minorHAnsi"/>
          <w:i/>
          <w:iCs/>
          <w:color w:val="000000" w:themeColor="text1"/>
          <w:sz w:val="20"/>
          <w:szCs w:val="20"/>
          <w:shd w:val="clear" w:color="auto" w:fill="FFFFFF"/>
        </w:rPr>
        <w:t>40</w:t>
      </w:r>
      <w:r w:rsidRPr="007B414E">
        <w:rPr>
          <w:rFonts w:eastAsia="Times New Roman" w:cstheme="minorHAnsi"/>
          <w:color w:val="000000" w:themeColor="text1"/>
          <w:sz w:val="20"/>
          <w:szCs w:val="20"/>
          <w:shd w:val="clear" w:color="auto" w:fill="FFFFFF"/>
        </w:rPr>
        <w:t>(5), 530-543. Retrieved October 7, 2020, from http://www.jstor.org/stable/43966398</w:t>
      </w:r>
    </w:p>
  </w:footnote>
  <w:footnote w:id="14">
    <w:p w14:paraId="28AD391C" w14:textId="77777777" w:rsidR="0083282F" w:rsidRDefault="0083282F" w:rsidP="0083282F">
      <w:pPr>
        <w:pStyle w:val="NoSpacing"/>
      </w:pPr>
      <w:r w:rsidRPr="00C837DB">
        <w:rPr>
          <w:rStyle w:val="FootnoteReference"/>
          <w:sz w:val="20"/>
          <w:szCs w:val="20"/>
        </w:rPr>
        <w:footnoteRef/>
      </w:r>
      <w:r w:rsidRPr="00C837DB">
        <w:rPr>
          <w:sz w:val="20"/>
          <w:szCs w:val="20"/>
        </w:rPr>
        <w:t xml:space="preserve"> McElreath, R. (2020). Models with Memory. In </w:t>
      </w:r>
      <w:r w:rsidRPr="00C837DB">
        <w:rPr>
          <w:i/>
          <w:iCs/>
          <w:sz w:val="20"/>
          <w:szCs w:val="20"/>
        </w:rPr>
        <w:t>Statistical rethinking a Bayesian course with examples in R and Stan</w:t>
      </w:r>
      <w:r w:rsidRPr="00C837DB">
        <w:rPr>
          <w:sz w:val="20"/>
          <w:szCs w:val="20"/>
        </w:rPr>
        <w:t xml:space="preserve">. essay, CRC Press. </w:t>
      </w:r>
    </w:p>
  </w:footnote>
  <w:footnote w:id="15">
    <w:p w14:paraId="1874AB96" w14:textId="77777777" w:rsidR="0083282F" w:rsidRPr="007937EA" w:rsidRDefault="0083282F" w:rsidP="0083282F">
      <w:pPr>
        <w:pStyle w:val="NoSpacing"/>
        <w:rPr>
          <w:sz w:val="20"/>
          <w:szCs w:val="20"/>
        </w:rPr>
      </w:pPr>
      <w:r w:rsidRPr="00FD4BFD">
        <w:rPr>
          <w:rStyle w:val="FootnoteReference"/>
          <w:sz w:val="20"/>
          <w:szCs w:val="20"/>
        </w:rPr>
        <w:footnoteRef/>
      </w:r>
      <w:r>
        <w:t xml:space="preserve"> </w:t>
      </w:r>
      <w:r w:rsidRPr="00FD4BFD">
        <w:rPr>
          <w:sz w:val="20"/>
          <w:szCs w:val="20"/>
        </w:rPr>
        <w:t xml:space="preserve">Gelman, A., &amp; Hill, J. Multilevel logistic regression. </w:t>
      </w:r>
      <w:r w:rsidRPr="00FD4BFD">
        <w:rPr>
          <w:i/>
          <w:iCs/>
          <w:sz w:val="20"/>
          <w:szCs w:val="20"/>
        </w:rPr>
        <w:t>Data Analysis Using Regression and Multilevel/Hierarchical Models</w:t>
      </w:r>
      <w:r w:rsidRPr="00FD4BFD">
        <w:rPr>
          <w:sz w:val="20"/>
          <w:szCs w:val="20"/>
        </w:rPr>
        <w:t xml:space="preserve">, 301–324. https://doi.org/10.1017/cbo9780511790942.018 </w:t>
      </w:r>
    </w:p>
  </w:footnote>
  <w:footnote w:id="16">
    <w:p w14:paraId="3A9B7DBD" w14:textId="77777777" w:rsidR="00192A7A" w:rsidRPr="000657BD" w:rsidRDefault="00192A7A" w:rsidP="00192A7A">
      <w:pPr>
        <w:rPr>
          <w:rFonts w:eastAsia="Times New Roman" w:cstheme="minorHAnsi"/>
          <w:color w:val="000000" w:themeColor="text1"/>
          <w:sz w:val="20"/>
          <w:szCs w:val="20"/>
        </w:rPr>
      </w:pPr>
      <w:r w:rsidRPr="007B414E">
        <w:rPr>
          <w:rStyle w:val="FootnoteReference"/>
          <w:rFonts w:cstheme="minorHAnsi"/>
          <w:color w:val="000000" w:themeColor="text1"/>
          <w:sz w:val="20"/>
          <w:szCs w:val="20"/>
        </w:rPr>
        <w:footnoteRef/>
      </w:r>
      <w:r w:rsidRPr="007B414E">
        <w:rPr>
          <w:rFonts w:cstheme="minorHAnsi"/>
          <w:color w:val="000000" w:themeColor="text1"/>
          <w:sz w:val="20"/>
          <w:szCs w:val="20"/>
        </w:rPr>
        <w:t xml:space="preserve"> </w:t>
      </w:r>
      <w:r w:rsidRPr="007B414E">
        <w:rPr>
          <w:rFonts w:eastAsia="Times New Roman" w:cstheme="minorHAnsi"/>
          <w:color w:val="000000" w:themeColor="text1"/>
          <w:sz w:val="20"/>
          <w:szCs w:val="20"/>
          <w:shd w:val="clear" w:color="auto" w:fill="FFFFFF"/>
        </w:rPr>
        <w:t>Christofides, Tasos, et al. "The 2009 European Parliament elections: From votes to seats in 27 ways." </w:t>
      </w:r>
      <w:r w:rsidRPr="007B414E">
        <w:rPr>
          <w:rFonts w:eastAsia="Times New Roman" w:cstheme="minorHAnsi"/>
          <w:i/>
          <w:iCs/>
          <w:color w:val="000000" w:themeColor="text1"/>
          <w:sz w:val="20"/>
          <w:szCs w:val="20"/>
          <w:shd w:val="clear" w:color="auto" w:fill="FFFFFF"/>
        </w:rPr>
        <w:t>European Electoral Studies</w:t>
      </w:r>
      <w:r w:rsidRPr="007B414E">
        <w:rPr>
          <w:rFonts w:eastAsia="Times New Roman" w:cstheme="minorHAnsi"/>
          <w:color w:val="000000" w:themeColor="text1"/>
          <w:sz w:val="20"/>
          <w:szCs w:val="20"/>
          <w:shd w:val="clear" w:color="auto" w:fill="FFFFFF"/>
        </w:rPr>
        <w:t> 5.2 (2010): 148-182.</w:t>
      </w:r>
    </w:p>
  </w:footnote>
  <w:footnote w:id="17">
    <w:p w14:paraId="7A33896F" w14:textId="77777777" w:rsidR="00192A7A" w:rsidRDefault="00192A7A" w:rsidP="00192A7A">
      <w:pPr>
        <w:pStyle w:val="FootnoteText"/>
      </w:pPr>
      <w:r>
        <w:rPr>
          <w:rStyle w:val="FootnoteReference"/>
        </w:rPr>
        <w:footnoteRef/>
      </w:r>
      <w:r>
        <w:t xml:space="preserve"> </w:t>
      </w:r>
      <w:r w:rsidRPr="005E1E9F">
        <w:t>Lax, J. R., Phillips, J. H., &amp; Zelizer, A</w:t>
      </w:r>
      <w:r>
        <w:t xml:space="preserve"> (2019)</w:t>
      </w:r>
    </w:p>
  </w:footnote>
  <w:footnote w:id="18">
    <w:p w14:paraId="262C55FF" w14:textId="77777777" w:rsidR="00192A7A" w:rsidRPr="00EF328A" w:rsidRDefault="00192A7A" w:rsidP="00192A7A">
      <w:pPr>
        <w:pStyle w:val="NoSpacing"/>
        <w:rPr>
          <w:sz w:val="20"/>
          <w:szCs w:val="20"/>
        </w:rPr>
      </w:pPr>
      <w:r w:rsidRPr="00EF328A">
        <w:rPr>
          <w:rStyle w:val="FootnoteReference"/>
          <w:sz w:val="20"/>
          <w:szCs w:val="20"/>
        </w:rPr>
        <w:footnoteRef/>
      </w:r>
      <w:r w:rsidRPr="00EF328A">
        <w:rPr>
          <w:sz w:val="20"/>
          <w:szCs w:val="20"/>
        </w:rPr>
        <w:t xml:space="preserve"> Buttice, M. K., &amp; Highton, B. (2013). How Does Multilevel Regression and Poststratification Perform with Conventional National Surveys? </w:t>
      </w:r>
      <w:r w:rsidRPr="00EF328A">
        <w:rPr>
          <w:i/>
          <w:iCs/>
          <w:sz w:val="20"/>
          <w:szCs w:val="20"/>
        </w:rPr>
        <w:t>Political Analysis</w:t>
      </w:r>
      <w:r w:rsidRPr="00EF328A">
        <w:rPr>
          <w:sz w:val="20"/>
          <w:szCs w:val="20"/>
        </w:rPr>
        <w:t xml:space="preserve">, </w:t>
      </w:r>
      <w:r w:rsidRPr="00EF328A">
        <w:rPr>
          <w:i/>
          <w:iCs/>
          <w:sz w:val="20"/>
          <w:szCs w:val="20"/>
        </w:rPr>
        <w:t>21</w:t>
      </w:r>
      <w:r w:rsidRPr="00EF328A">
        <w:rPr>
          <w:sz w:val="20"/>
          <w:szCs w:val="20"/>
        </w:rPr>
        <w:t xml:space="preserve">(4), 449–467. https://doi.org/10.1093/pan/mpt017 </w:t>
      </w:r>
    </w:p>
    <w:p w14:paraId="0DEBD60E" w14:textId="77777777" w:rsidR="00192A7A" w:rsidRDefault="00192A7A" w:rsidP="00192A7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0761B"/>
    <w:multiLevelType w:val="hybridMultilevel"/>
    <w:tmpl w:val="8F923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324"/>
    <w:rsid w:val="000114A2"/>
    <w:rsid w:val="00024D15"/>
    <w:rsid w:val="00041C33"/>
    <w:rsid w:val="00051B79"/>
    <w:rsid w:val="000563DC"/>
    <w:rsid w:val="00060A34"/>
    <w:rsid w:val="000635D6"/>
    <w:rsid w:val="000657BD"/>
    <w:rsid w:val="000A1645"/>
    <w:rsid w:val="000A624A"/>
    <w:rsid w:val="000A7D7B"/>
    <w:rsid w:val="000D3324"/>
    <w:rsid w:val="000E03F9"/>
    <w:rsid w:val="000F7503"/>
    <w:rsid w:val="001026F8"/>
    <w:rsid w:val="001122AF"/>
    <w:rsid w:val="00121EBE"/>
    <w:rsid w:val="00142662"/>
    <w:rsid w:val="00185FBF"/>
    <w:rsid w:val="00192A7A"/>
    <w:rsid w:val="0019403E"/>
    <w:rsid w:val="001B22A5"/>
    <w:rsid w:val="001B75DE"/>
    <w:rsid w:val="001E6CA8"/>
    <w:rsid w:val="00212EF2"/>
    <w:rsid w:val="00220D96"/>
    <w:rsid w:val="00264934"/>
    <w:rsid w:val="00296596"/>
    <w:rsid w:val="00296DBF"/>
    <w:rsid w:val="002C12C6"/>
    <w:rsid w:val="002C1E7F"/>
    <w:rsid w:val="002C1F98"/>
    <w:rsid w:val="002D58EC"/>
    <w:rsid w:val="002D598D"/>
    <w:rsid w:val="002F5436"/>
    <w:rsid w:val="00313B15"/>
    <w:rsid w:val="0031569C"/>
    <w:rsid w:val="00324F21"/>
    <w:rsid w:val="00381095"/>
    <w:rsid w:val="00383C7D"/>
    <w:rsid w:val="00385D76"/>
    <w:rsid w:val="003915FF"/>
    <w:rsid w:val="003A5CD7"/>
    <w:rsid w:val="003D5EB3"/>
    <w:rsid w:val="003F37FE"/>
    <w:rsid w:val="00403790"/>
    <w:rsid w:val="00404322"/>
    <w:rsid w:val="00423C32"/>
    <w:rsid w:val="00431BCC"/>
    <w:rsid w:val="00452991"/>
    <w:rsid w:val="0046714E"/>
    <w:rsid w:val="004930C8"/>
    <w:rsid w:val="00495D8F"/>
    <w:rsid w:val="004C2A1E"/>
    <w:rsid w:val="004D1F7E"/>
    <w:rsid w:val="004D4B46"/>
    <w:rsid w:val="004E63D9"/>
    <w:rsid w:val="00511D94"/>
    <w:rsid w:val="00521152"/>
    <w:rsid w:val="00535A77"/>
    <w:rsid w:val="005402A7"/>
    <w:rsid w:val="005640A6"/>
    <w:rsid w:val="005A2EF7"/>
    <w:rsid w:val="005C4E26"/>
    <w:rsid w:val="005D184E"/>
    <w:rsid w:val="005D6A81"/>
    <w:rsid w:val="005E1E9F"/>
    <w:rsid w:val="005E261A"/>
    <w:rsid w:val="00627581"/>
    <w:rsid w:val="00650657"/>
    <w:rsid w:val="006560FC"/>
    <w:rsid w:val="006B0DCC"/>
    <w:rsid w:val="006B4447"/>
    <w:rsid w:val="006C3034"/>
    <w:rsid w:val="007319BE"/>
    <w:rsid w:val="007371D2"/>
    <w:rsid w:val="007565B0"/>
    <w:rsid w:val="007937EA"/>
    <w:rsid w:val="007A7244"/>
    <w:rsid w:val="007B414E"/>
    <w:rsid w:val="007C6010"/>
    <w:rsid w:val="007D69F3"/>
    <w:rsid w:val="007D787C"/>
    <w:rsid w:val="007E3481"/>
    <w:rsid w:val="008015C3"/>
    <w:rsid w:val="00812D49"/>
    <w:rsid w:val="00820B45"/>
    <w:rsid w:val="0083282F"/>
    <w:rsid w:val="00862D13"/>
    <w:rsid w:val="00883A5E"/>
    <w:rsid w:val="00884CBE"/>
    <w:rsid w:val="008B1429"/>
    <w:rsid w:val="008B1D8D"/>
    <w:rsid w:val="008E7A80"/>
    <w:rsid w:val="0093652B"/>
    <w:rsid w:val="0094158F"/>
    <w:rsid w:val="009471F6"/>
    <w:rsid w:val="0096473F"/>
    <w:rsid w:val="009B1B96"/>
    <w:rsid w:val="009B60BE"/>
    <w:rsid w:val="009C4A00"/>
    <w:rsid w:val="009D52C4"/>
    <w:rsid w:val="009F3955"/>
    <w:rsid w:val="00A130A5"/>
    <w:rsid w:val="00A269F3"/>
    <w:rsid w:val="00A30C54"/>
    <w:rsid w:val="00A4104E"/>
    <w:rsid w:val="00A54CC9"/>
    <w:rsid w:val="00A570B3"/>
    <w:rsid w:val="00A67BEA"/>
    <w:rsid w:val="00A74227"/>
    <w:rsid w:val="00A86144"/>
    <w:rsid w:val="00A97CE5"/>
    <w:rsid w:val="00AA5E62"/>
    <w:rsid w:val="00AC0B55"/>
    <w:rsid w:val="00AE12C7"/>
    <w:rsid w:val="00AE3779"/>
    <w:rsid w:val="00B072D9"/>
    <w:rsid w:val="00B25002"/>
    <w:rsid w:val="00B849EA"/>
    <w:rsid w:val="00B95492"/>
    <w:rsid w:val="00BC23C2"/>
    <w:rsid w:val="00BD7572"/>
    <w:rsid w:val="00C008D2"/>
    <w:rsid w:val="00C031F9"/>
    <w:rsid w:val="00C15282"/>
    <w:rsid w:val="00C17AC7"/>
    <w:rsid w:val="00C23BC9"/>
    <w:rsid w:val="00C32981"/>
    <w:rsid w:val="00C52ADB"/>
    <w:rsid w:val="00C82656"/>
    <w:rsid w:val="00C837DB"/>
    <w:rsid w:val="00C94B6A"/>
    <w:rsid w:val="00C9697A"/>
    <w:rsid w:val="00CA68D2"/>
    <w:rsid w:val="00CC422B"/>
    <w:rsid w:val="00CD64E3"/>
    <w:rsid w:val="00D01C46"/>
    <w:rsid w:val="00D06B36"/>
    <w:rsid w:val="00D14B19"/>
    <w:rsid w:val="00D2213C"/>
    <w:rsid w:val="00D225D1"/>
    <w:rsid w:val="00D320BE"/>
    <w:rsid w:val="00D46E44"/>
    <w:rsid w:val="00D500B8"/>
    <w:rsid w:val="00D72B89"/>
    <w:rsid w:val="00D8292E"/>
    <w:rsid w:val="00D84A30"/>
    <w:rsid w:val="00DB27CA"/>
    <w:rsid w:val="00DB38CE"/>
    <w:rsid w:val="00DC2F14"/>
    <w:rsid w:val="00DD3294"/>
    <w:rsid w:val="00E00209"/>
    <w:rsid w:val="00E013A9"/>
    <w:rsid w:val="00E06D82"/>
    <w:rsid w:val="00E32E2E"/>
    <w:rsid w:val="00E42ECE"/>
    <w:rsid w:val="00E46C0C"/>
    <w:rsid w:val="00E917D8"/>
    <w:rsid w:val="00EB01AF"/>
    <w:rsid w:val="00EB048C"/>
    <w:rsid w:val="00EB4F4C"/>
    <w:rsid w:val="00EC74DB"/>
    <w:rsid w:val="00EE1DF3"/>
    <w:rsid w:val="00EE6D0F"/>
    <w:rsid w:val="00EF328A"/>
    <w:rsid w:val="00F007C4"/>
    <w:rsid w:val="00F1750C"/>
    <w:rsid w:val="00F358B1"/>
    <w:rsid w:val="00F47A1B"/>
    <w:rsid w:val="00F531C3"/>
    <w:rsid w:val="00F63539"/>
    <w:rsid w:val="00F82582"/>
    <w:rsid w:val="00FA3F31"/>
    <w:rsid w:val="00FA5DAB"/>
    <w:rsid w:val="00FB08F5"/>
    <w:rsid w:val="00FB757B"/>
    <w:rsid w:val="00FC21D5"/>
    <w:rsid w:val="00FD4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7853FA"/>
  <w15:chartTrackingRefBased/>
  <w15:docId w15:val="{191804D0-8D4A-D14D-B5A8-05D22010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E6D0F"/>
    <w:rPr>
      <w:sz w:val="20"/>
      <w:szCs w:val="20"/>
    </w:rPr>
  </w:style>
  <w:style w:type="character" w:customStyle="1" w:styleId="FootnoteTextChar">
    <w:name w:val="Footnote Text Char"/>
    <w:basedOn w:val="DefaultParagraphFont"/>
    <w:link w:val="FootnoteText"/>
    <w:uiPriority w:val="99"/>
    <w:semiHidden/>
    <w:rsid w:val="00EE6D0F"/>
    <w:rPr>
      <w:sz w:val="20"/>
      <w:szCs w:val="20"/>
    </w:rPr>
  </w:style>
  <w:style w:type="character" w:styleId="FootnoteReference">
    <w:name w:val="footnote reference"/>
    <w:basedOn w:val="DefaultParagraphFont"/>
    <w:uiPriority w:val="99"/>
    <w:semiHidden/>
    <w:unhideWhenUsed/>
    <w:rsid w:val="00EE6D0F"/>
    <w:rPr>
      <w:vertAlign w:val="superscript"/>
    </w:rPr>
  </w:style>
  <w:style w:type="character" w:styleId="Hyperlink">
    <w:name w:val="Hyperlink"/>
    <w:basedOn w:val="DefaultParagraphFont"/>
    <w:uiPriority w:val="99"/>
    <w:unhideWhenUsed/>
    <w:rsid w:val="00EE6D0F"/>
    <w:rPr>
      <w:color w:val="0000FF"/>
      <w:u w:val="single"/>
    </w:rPr>
  </w:style>
  <w:style w:type="character" w:styleId="UnresolvedMention">
    <w:name w:val="Unresolved Mention"/>
    <w:basedOn w:val="DefaultParagraphFont"/>
    <w:uiPriority w:val="99"/>
    <w:semiHidden/>
    <w:unhideWhenUsed/>
    <w:rsid w:val="009B1B96"/>
    <w:rPr>
      <w:color w:val="605E5C"/>
      <w:shd w:val="clear" w:color="auto" w:fill="E1DFDD"/>
    </w:rPr>
  </w:style>
  <w:style w:type="paragraph" w:styleId="NormalWeb">
    <w:name w:val="Normal (Web)"/>
    <w:basedOn w:val="Normal"/>
    <w:uiPriority w:val="99"/>
    <w:unhideWhenUsed/>
    <w:rsid w:val="0093652B"/>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324F21"/>
  </w:style>
  <w:style w:type="paragraph" w:styleId="BalloonText">
    <w:name w:val="Balloon Text"/>
    <w:basedOn w:val="Normal"/>
    <w:link w:val="BalloonTextChar"/>
    <w:uiPriority w:val="99"/>
    <w:semiHidden/>
    <w:unhideWhenUsed/>
    <w:rsid w:val="00423C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3C32"/>
    <w:rPr>
      <w:rFonts w:ascii="Times New Roman" w:hAnsi="Times New Roman" w:cs="Times New Roman"/>
      <w:sz w:val="18"/>
      <w:szCs w:val="18"/>
    </w:rPr>
  </w:style>
  <w:style w:type="paragraph" w:styleId="ListParagraph">
    <w:name w:val="List Paragraph"/>
    <w:basedOn w:val="Normal"/>
    <w:uiPriority w:val="34"/>
    <w:qFormat/>
    <w:rsid w:val="00220D96"/>
    <w:pPr>
      <w:ind w:left="720"/>
      <w:contextualSpacing/>
    </w:pPr>
  </w:style>
  <w:style w:type="character" w:styleId="FollowedHyperlink">
    <w:name w:val="FollowedHyperlink"/>
    <w:basedOn w:val="DefaultParagraphFont"/>
    <w:uiPriority w:val="99"/>
    <w:semiHidden/>
    <w:unhideWhenUsed/>
    <w:rsid w:val="00381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660557">
      <w:bodyDiv w:val="1"/>
      <w:marLeft w:val="0"/>
      <w:marRight w:val="0"/>
      <w:marTop w:val="0"/>
      <w:marBottom w:val="0"/>
      <w:divBdr>
        <w:top w:val="none" w:sz="0" w:space="0" w:color="auto"/>
        <w:left w:val="none" w:sz="0" w:space="0" w:color="auto"/>
        <w:bottom w:val="none" w:sz="0" w:space="0" w:color="auto"/>
        <w:right w:val="none" w:sz="0" w:space="0" w:color="auto"/>
      </w:divBdr>
      <w:divsChild>
        <w:div w:id="138041073">
          <w:marLeft w:val="0"/>
          <w:marRight w:val="0"/>
          <w:marTop w:val="0"/>
          <w:marBottom w:val="0"/>
          <w:divBdr>
            <w:top w:val="single" w:sz="18" w:space="4" w:color="006FCA"/>
            <w:left w:val="single" w:sz="18" w:space="4" w:color="006FCA"/>
            <w:bottom w:val="single" w:sz="18" w:space="4" w:color="006FCA"/>
            <w:right w:val="single" w:sz="18" w:space="4" w:color="006FCA"/>
          </w:divBdr>
          <w:divsChild>
            <w:div w:id="492142207">
              <w:marLeft w:val="0"/>
              <w:marRight w:val="0"/>
              <w:marTop w:val="0"/>
              <w:marBottom w:val="0"/>
              <w:divBdr>
                <w:top w:val="none" w:sz="0" w:space="0" w:color="auto"/>
                <w:left w:val="none" w:sz="0" w:space="0" w:color="auto"/>
                <w:bottom w:val="none" w:sz="0" w:space="0" w:color="auto"/>
                <w:right w:val="none" w:sz="0" w:space="0" w:color="auto"/>
              </w:divBdr>
              <w:divsChild>
                <w:div w:id="11345643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20475270">
      <w:bodyDiv w:val="1"/>
      <w:marLeft w:val="0"/>
      <w:marRight w:val="0"/>
      <w:marTop w:val="0"/>
      <w:marBottom w:val="0"/>
      <w:divBdr>
        <w:top w:val="none" w:sz="0" w:space="0" w:color="auto"/>
        <w:left w:val="none" w:sz="0" w:space="0" w:color="auto"/>
        <w:bottom w:val="none" w:sz="0" w:space="0" w:color="auto"/>
        <w:right w:val="none" w:sz="0" w:space="0" w:color="auto"/>
      </w:divBdr>
    </w:div>
    <w:div w:id="502161817">
      <w:bodyDiv w:val="1"/>
      <w:marLeft w:val="0"/>
      <w:marRight w:val="0"/>
      <w:marTop w:val="0"/>
      <w:marBottom w:val="0"/>
      <w:divBdr>
        <w:top w:val="none" w:sz="0" w:space="0" w:color="auto"/>
        <w:left w:val="none" w:sz="0" w:space="0" w:color="auto"/>
        <w:bottom w:val="none" w:sz="0" w:space="0" w:color="auto"/>
        <w:right w:val="none" w:sz="0" w:space="0" w:color="auto"/>
      </w:divBdr>
    </w:div>
    <w:div w:id="691227459">
      <w:bodyDiv w:val="1"/>
      <w:marLeft w:val="0"/>
      <w:marRight w:val="0"/>
      <w:marTop w:val="0"/>
      <w:marBottom w:val="0"/>
      <w:divBdr>
        <w:top w:val="none" w:sz="0" w:space="0" w:color="auto"/>
        <w:left w:val="none" w:sz="0" w:space="0" w:color="auto"/>
        <w:bottom w:val="none" w:sz="0" w:space="0" w:color="auto"/>
        <w:right w:val="none" w:sz="0" w:space="0" w:color="auto"/>
      </w:divBdr>
    </w:div>
    <w:div w:id="801387499">
      <w:bodyDiv w:val="1"/>
      <w:marLeft w:val="0"/>
      <w:marRight w:val="0"/>
      <w:marTop w:val="0"/>
      <w:marBottom w:val="0"/>
      <w:divBdr>
        <w:top w:val="none" w:sz="0" w:space="0" w:color="auto"/>
        <w:left w:val="none" w:sz="0" w:space="0" w:color="auto"/>
        <w:bottom w:val="none" w:sz="0" w:space="0" w:color="auto"/>
        <w:right w:val="none" w:sz="0" w:space="0" w:color="auto"/>
      </w:divBdr>
    </w:div>
    <w:div w:id="900411303">
      <w:bodyDiv w:val="1"/>
      <w:marLeft w:val="0"/>
      <w:marRight w:val="0"/>
      <w:marTop w:val="0"/>
      <w:marBottom w:val="0"/>
      <w:divBdr>
        <w:top w:val="none" w:sz="0" w:space="0" w:color="auto"/>
        <w:left w:val="none" w:sz="0" w:space="0" w:color="auto"/>
        <w:bottom w:val="none" w:sz="0" w:space="0" w:color="auto"/>
        <w:right w:val="none" w:sz="0" w:space="0" w:color="auto"/>
      </w:divBdr>
      <w:divsChild>
        <w:div w:id="1501584212">
          <w:marLeft w:val="0"/>
          <w:marRight w:val="0"/>
          <w:marTop w:val="0"/>
          <w:marBottom w:val="0"/>
          <w:divBdr>
            <w:top w:val="single" w:sz="18" w:space="4" w:color="006FCA"/>
            <w:left w:val="single" w:sz="18" w:space="4" w:color="006FCA"/>
            <w:bottom w:val="single" w:sz="18" w:space="4" w:color="006FCA"/>
            <w:right w:val="single" w:sz="18" w:space="4" w:color="006FCA"/>
          </w:divBdr>
          <w:divsChild>
            <w:div w:id="788429281">
              <w:marLeft w:val="0"/>
              <w:marRight w:val="0"/>
              <w:marTop w:val="0"/>
              <w:marBottom w:val="0"/>
              <w:divBdr>
                <w:top w:val="none" w:sz="0" w:space="0" w:color="auto"/>
                <w:left w:val="none" w:sz="0" w:space="0" w:color="auto"/>
                <w:bottom w:val="none" w:sz="0" w:space="0" w:color="auto"/>
                <w:right w:val="none" w:sz="0" w:space="0" w:color="auto"/>
              </w:divBdr>
              <w:divsChild>
                <w:div w:id="5385191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10251573">
      <w:bodyDiv w:val="1"/>
      <w:marLeft w:val="0"/>
      <w:marRight w:val="0"/>
      <w:marTop w:val="0"/>
      <w:marBottom w:val="0"/>
      <w:divBdr>
        <w:top w:val="none" w:sz="0" w:space="0" w:color="auto"/>
        <w:left w:val="none" w:sz="0" w:space="0" w:color="auto"/>
        <w:bottom w:val="none" w:sz="0" w:space="0" w:color="auto"/>
        <w:right w:val="none" w:sz="0" w:space="0" w:color="auto"/>
      </w:divBdr>
    </w:div>
    <w:div w:id="1022824016">
      <w:bodyDiv w:val="1"/>
      <w:marLeft w:val="0"/>
      <w:marRight w:val="0"/>
      <w:marTop w:val="0"/>
      <w:marBottom w:val="0"/>
      <w:divBdr>
        <w:top w:val="none" w:sz="0" w:space="0" w:color="auto"/>
        <w:left w:val="none" w:sz="0" w:space="0" w:color="auto"/>
        <w:bottom w:val="none" w:sz="0" w:space="0" w:color="auto"/>
        <w:right w:val="none" w:sz="0" w:space="0" w:color="auto"/>
      </w:divBdr>
    </w:div>
    <w:div w:id="1147629850">
      <w:bodyDiv w:val="1"/>
      <w:marLeft w:val="0"/>
      <w:marRight w:val="0"/>
      <w:marTop w:val="0"/>
      <w:marBottom w:val="0"/>
      <w:divBdr>
        <w:top w:val="none" w:sz="0" w:space="0" w:color="auto"/>
        <w:left w:val="none" w:sz="0" w:space="0" w:color="auto"/>
        <w:bottom w:val="none" w:sz="0" w:space="0" w:color="auto"/>
        <w:right w:val="none" w:sz="0" w:space="0" w:color="auto"/>
      </w:divBdr>
    </w:div>
    <w:div w:id="1301113043">
      <w:bodyDiv w:val="1"/>
      <w:marLeft w:val="0"/>
      <w:marRight w:val="0"/>
      <w:marTop w:val="0"/>
      <w:marBottom w:val="0"/>
      <w:divBdr>
        <w:top w:val="none" w:sz="0" w:space="0" w:color="auto"/>
        <w:left w:val="none" w:sz="0" w:space="0" w:color="auto"/>
        <w:bottom w:val="none" w:sz="0" w:space="0" w:color="auto"/>
        <w:right w:val="none" w:sz="0" w:space="0" w:color="auto"/>
      </w:divBdr>
    </w:div>
    <w:div w:id="1367221627">
      <w:bodyDiv w:val="1"/>
      <w:marLeft w:val="0"/>
      <w:marRight w:val="0"/>
      <w:marTop w:val="0"/>
      <w:marBottom w:val="0"/>
      <w:divBdr>
        <w:top w:val="none" w:sz="0" w:space="0" w:color="auto"/>
        <w:left w:val="none" w:sz="0" w:space="0" w:color="auto"/>
        <w:bottom w:val="none" w:sz="0" w:space="0" w:color="auto"/>
        <w:right w:val="none" w:sz="0" w:space="0" w:color="auto"/>
      </w:divBdr>
    </w:div>
    <w:div w:id="1399667359">
      <w:bodyDiv w:val="1"/>
      <w:marLeft w:val="0"/>
      <w:marRight w:val="0"/>
      <w:marTop w:val="0"/>
      <w:marBottom w:val="0"/>
      <w:divBdr>
        <w:top w:val="none" w:sz="0" w:space="0" w:color="auto"/>
        <w:left w:val="none" w:sz="0" w:space="0" w:color="auto"/>
        <w:bottom w:val="none" w:sz="0" w:space="0" w:color="auto"/>
        <w:right w:val="none" w:sz="0" w:space="0" w:color="auto"/>
      </w:divBdr>
    </w:div>
    <w:div w:id="1453087568">
      <w:bodyDiv w:val="1"/>
      <w:marLeft w:val="0"/>
      <w:marRight w:val="0"/>
      <w:marTop w:val="0"/>
      <w:marBottom w:val="0"/>
      <w:divBdr>
        <w:top w:val="none" w:sz="0" w:space="0" w:color="auto"/>
        <w:left w:val="none" w:sz="0" w:space="0" w:color="auto"/>
        <w:bottom w:val="none" w:sz="0" w:space="0" w:color="auto"/>
        <w:right w:val="none" w:sz="0" w:space="0" w:color="auto"/>
      </w:divBdr>
    </w:div>
    <w:div w:id="1511412797">
      <w:bodyDiv w:val="1"/>
      <w:marLeft w:val="0"/>
      <w:marRight w:val="0"/>
      <w:marTop w:val="0"/>
      <w:marBottom w:val="0"/>
      <w:divBdr>
        <w:top w:val="none" w:sz="0" w:space="0" w:color="auto"/>
        <w:left w:val="none" w:sz="0" w:space="0" w:color="auto"/>
        <w:bottom w:val="none" w:sz="0" w:space="0" w:color="auto"/>
        <w:right w:val="none" w:sz="0" w:space="0" w:color="auto"/>
      </w:divBdr>
      <w:divsChild>
        <w:div w:id="1208641409">
          <w:marLeft w:val="0"/>
          <w:marRight w:val="0"/>
          <w:marTop w:val="0"/>
          <w:marBottom w:val="0"/>
          <w:divBdr>
            <w:top w:val="none" w:sz="0" w:space="0" w:color="auto"/>
            <w:left w:val="none" w:sz="0" w:space="0" w:color="auto"/>
            <w:bottom w:val="none" w:sz="0" w:space="0" w:color="auto"/>
            <w:right w:val="none" w:sz="0" w:space="0" w:color="auto"/>
          </w:divBdr>
          <w:divsChild>
            <w:div w:id="148912911">
              <w:marLeft w:val="0"/>
              <w:marRight w:val="0"/>
              <w:marTop w:val="0"/>
              <w:marBottom w:val="0"/>
              <w:divBdr>
                <w:top w:val="none" w:sz="0" w:space="0" w:color="auto"/>
                <w:left w:val="none" w:sz="0" w:space="0" w:color="auto"/>
                <w:bottom w:val="none" w:sz="0" w:space="0" w:color="auto"/>
                <w:right w:val="none" w:sz="0" w:space="0" w:color="auto"/>
              </w:divBdr>
              <w:divsChild>
                <w:div w:id="14795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1440">
      <w:bodyDiv w:val="1"/>
      <w:marLeft w:val="0"/>
      <w:marRight w:val="0"/>
      <w:marTop w:val="0"/>
      <w:marBottom w:val="0"/>
      <w:divBdr>
        <w:top w:val="none" w:sz="0" w:space="0" w:color="auto"/>
        <w:left w:val="none" w:sz="0" w:space="0" w:color="auto"/>
        <w:bottom w:val="none" w:sz="0" w:space="0" w:color="auto"/>
        <w:right w:val="none" w:sz="0" w:space="0" w:color="auto"/>
      </w:divBdr>
    </w:div>
    <w:div w:id="1663124775">
      <w:bodyDiv w:val="1"/>
      <w:marLeft w:val="0"/>
      <w:marRight w:val="0"/>
      <w:marTop w:val="0"/>
      <w:marBottom w:val="0"/>
      <w:divBdr>
        <w:top w:val="none" w:sz="0" w:space="0" w:color="auto"/>
        <w:left w:val="none" w:sz="0" w:space="0" w:color="auto"/>
        <w:bottom w:val="none" w:sz="0" w:space="0" w:color="auto"/>
        <w:right w:val="none" w:sz="0" w:space="0" w:color="auto"/>
      </w:divBdr>
    </w:div>
    <w:div w:id="1716461846">
      <w:bodyDiv w:val="1"/>
      <w:marLeft w:val="0"/>
      <w:marRight w:val="0"/>
      <w:marTop w:val="0"/>
      <w:marBottom w:val="0"/>
      <w:divBdr>
        <w:top w:val="none" w:sz="0" w:space="0" w:color="auto"/>
        <w:left w:val="none" w:sz="0" w:space="0" w:color="auto"/>
        <w:bottom w:val="none" w:sz="0" w:space="0" w:color="auto"/>
        <w:right w:val="none" w:sz="0" w:space="0" w:color="auto"/>
      </w:divBdr>
      <w:divsChild>
        <w:div w:id="442111517">
          <w:marLeft w:val="0"/>
          <w:marRight w:val="0"/>
          <w:marTop w:val="0"/>
          <w:marBottom w:val="0"/>
          <w:divBdr>
            <w:top w:val="none" w:sz="0" w:space="0" w:color="auto"/>
            <w:left w:val="none" w:sz="0" w:space="0" w:color="auto"/>
            <w:bottom w:val="none" w:sz="0" w:space="0" w:color="auto"/>
            <w:right w:val="none" w:sz="0" w:space="0" w:color="auto"/>
          </w:divBdr>
          <w:divsChild>
            <w:div w:id="1394548685">
              <w:marLeft w:val="0"/>
              <w:marRight w:val="0"/>
              <w:marTop w:val="0"/>
              <w:marBottom w:val="0"/>
              <w:divBdr>
                <w:top w:val="none" w:sz="0" w:space="0" w:color="auto"/>
                <w:left w:val="none" w:sz="0" w:space="0" w:color="auto"/>
                <w:bottom w:val="none" w:sz="0" w:space="0" w:color="auto"/>
                <w:right w:val="none" w:sz="0" w:space="0" w:color="auto"/>
              </w:divBdr>
              <w:divsChild>
                <w:div w:id="14864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9867">
      <w:bodyDiv w:val="1"/>
      <w:marLeft w:val="0"/>
      <w:marRight w:val="0"/>
      <w:marTop w:val="0"/>
      <w:marBottom w:val="0"/>
      <w:divBdr>
        <w:top w:val="none" w:sz="0" w:space="0" w:color="auto"/>
        <w:left w:val="none" w:sz="0" w:space="0" w:color="auto"/>
        <w:bottom w:val="none" w:sz="0" w:space="0" w:color="auto"/>
        <w:right w:val="none" w:sz="0" w:space="0" w:color="auto"/>
      </w:divBdr>
    </w:div>
    <w:div w:id="1921331525">
      <w:bodyDiv w:val="1"/>
      <w:marLeft w:val="0"/>
      <w:marRight w:val="0"/>
      <w:marTop w:val="0"/>
      <w:marBottom w:val="0"/>
      <w:divBdr>
        <w:top w:val="none" w:sz="0" w:space="0" w:color="auto"/>
        <w:left w:val="none" w:sz="0" w:space="0" w:color="auto"/>
        <w:bottom w:val="none" w:sz="0" w:space="0" w:color="auto"/>
        <w:right w:val="none" w:sz="0" w:space="0" w:color="auto"/>
      </w:divBdr>
      <w:divsChild>
        <w:div w:id="955257340">
          <w:marLeft w:val="480"/>
          <w:marRight w:val="0"/>
          <w:marTop w:val="0"/>
          <w:marBottom w:val="0"/>
          <w:divBdr>
            <w:top w:val="none" w:sz="0" w:space="0" w:color="auto"/>
            <w:left w:val="none" w:sz="0" w:space="0" w:color="auto"/>
            <w:bottom w:val="none" w:sz="0" w:space="0" w:color="auto"/>
            <w:right w:val="none" w:sz="0" w:space="0" w:color="auto"/>
          </w:divBdr>
          <w:divsChild>
            <w:div w:id="16745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6632">
      <w:bodyDiv w:val="1"/>
      <w:marLeft w:val="0"/>
      <w:marRight w:val="0"/>
      <w:marTop w:val="0"/>
      <w:marBottom w:val="0"/>
      <w:divBdr>
        <w:top w:val="none" w:sz="0" w:space="0" w:color="auto"/>
        <w:left w:val="none" w:sz="0" w:space="0" w:color="auto"/>
        <w:bottom w:val="none" w:sz="0" w:space="0" w:color="auto"/>
        <w:right w:val="none" w:sz="0" w:space="0" w:color="auto"/>
      </w:divBdr>
    </w:div>
    <w:div w:id="1930499812">
      <w:bodyDiv w:val="1"/>
      <w:marLeft w:val="0"/>
      <w:marRight w:val="0"/>
      <w:marTop w:val="0"/>
      <w:marBottom w:val="0"/>
      <w:divBdr>
        <w:top w:val="none" w:sz="0" w:space="0" w:color="auto"/>
        <w:left w:val="none" w:sz="0" w:space="0" w:color="auto"/>
        <w:bottom w:val="none" w:sz="0" w:space="0" w:color="auto"/>
        <w:right w:val="none" w:sz="0" w:space="0" w:color="auto"/>
      </w:divBdr>
    </w:div>
    <w:div w:id="1965770608">
      <w:bodyDiv w:val="1"/>
      <w:marLeft w:val="0"/>
      <w:marRight w:val="0"/>
      <w:marTop w:val="0"/>
      <w:marBottom w:val="0"/>
      <w:divBdr>
        <w:top w:val="none" w:sz="0" w:space="0" w:color="auto"/>
        <w:left w:val="none" w:sz="0" w:space="0" w:color="auto"/>
        <w:bottom w:val="none" w:sz="0" w:space="0" w:color="auto"/>
        <w:right w:val="none" w:sz="0" w:space="0" w:color="auto"/>
      </w:divBdr>
    </w:div>
    <w:div w:id="2019457482">
      <w:bodyDiv w:val="1"/>
      <w:marLeft w:val="0"/>
      <w:marRight w:val="0"/>
      <w:marTop w:val="0"/>
      <w:marBottom w:val="0"/>
      <w:divBdr>
        <w:top w:val="none" w:sz="0" w:space="0" w:color="auto"/>
        <w:left w:val="none" w:sz="0" w:space="0" w:color="auto"/>
        <w:bottom w:val="none" w:sz="0" w:space="0" w:color="auto"/>
        <w:right w:val="none" w:sz="0" w:space="0" w:color="auto"/>
      </w:divBdr>
    </w:div>
    <w:div w:id="2034375097">
      <w:bodyDiv w:val="1"/>
      <w:marLeft w:val="0"/>
      <w:marRight w:val="0"/>
      <w:marTop w:val="0"/>
      <w:marBottom w:val="0"/>
      <w:divBdr>
        <w:top w:val="none" w:sz="0" w:space="0" w:color="auto"/>
        <w:left w:val="none" w:sz="0" w:space="0" w:color="auto"/>
        <w:bottom w:val="none" w:sz="0" w:space="0" w:color="auto"/>
        <w:right w:val="none" w:sz="0" w:space="0" w:color="auto"/>
      </w:divBdr>
    </w:div>
    <w:div w:id="2044137712">
      <w:bodyDiv w:val="1"/>
      <w:marLeft w:val="0"/>
      <w:marRight w:val="0"/>
      <w:marTop w:val="0"/>
      <w:marBottom w:val="0"/>
      <w:divBdr>
        <w:top w:val="none" w:sz="0" w:space="0" w:color="auto"/>
        <w:left w:val="none" w:sz="0" w:space="0" w:color="auto"/>
        <w:bottom w:val="none" w:sz="0" w:space="0" w:color="auto"/>
        <w:right w:val="none" w:sz="0" w:space="0" w:color="auto"/>
      </w:divBdr>
    </w:div>
    <w:div w:id="2081365558">
      <w:bodyDiv w:val="1"/>
      <w:marLeft w:val="0"/>
      <w:marRight w:val="0"/>
      <w:marTop w:val="0"/>
      <w:marBottom w:val="0"/>
      <w:divBdr>
        <w:top w:val="none" w:sz="0" w:space="0" w:color="auto"/>
        <w:left w:val="none" w:sz="0" w:space="0" w:color="auto"/>
        <w:bottom w:val="none" w:sz="0" w:space="0" w:color="auto"/>
        <w:right w:val="none" w:sz="0" w:space="0" w:color="auto"/>
      </w:divBdr>
    </w:div>
    <w:div w:id="2104761172">
      <w:bodyDiv w:val="1"/>
      <w:marLeft w:val="0"/>
      <w:marRight w:val="0"/>
      <w:marTop w:val="0"/>
      <w:marBottom w:val="0"/>
      <w:divBdr>
        <w:top w:val="none" w:sz="0" w:space="0" w:color="auto"/>
        <w:left w:val="none" w:sz="0" w:space="0" w:color="auto"/>
        <w:bottom w:val="none" w:sz="0" w:space="0" w:color="auto"/>
        <w:right w:val="none" w:sz="0" w:space="0" w:color="auto"/>
      </w:divBdr>
    </w:div>
    <w:div w:id="212306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sis.org/en/eurobarometer-data-service/survey-series/flash-eb" TargetMode="External"/><Relationship Id="rId13" Type="http://schemas.openxmlformats.org/officeDocument/2006/relationships/hyperlink" Target="http://www.caneurope.org/publications/blogs/718-mep-scorecards-ranking-european-parliamentarians-on-climate-action" TargetMode="External"/><Relationship Id="rId3" Type="http://schemas.openxmlformats.org/officeDocument/2006/relationships/settings" Target="settings.xml"/><Relationship Id="rId7" Type="http://schemas.openxmlformats.org/officeDocument/2006/relationships/hyperlink" Target="mailto:gig2106@columbia.edu" TargetMode="External"/><Relationship Id="rId12" Type="http://schemas.openxmlformats.org/officeDocument/2006/relationships/hyperlink" Target="https://parltrack.org/dum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europa.eu/eurostat/web/population-and-housing-census/census-data/databas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c.europa.eu/eurostat/web/population-and-housing-census/census-data/2011-census" TargetMode="External"/><Relationship Id="rId4" Type="http://schemas.openxmlformats.org/officeDocument/2006/relationships/webSettings" Target="webSettings.xml"/><Relationship Id="rId9" Type="http://schemas.openxmlformats.org/officeDocument/2006/relationships/hyperlink" Target="https://dbk.gesis.org/dbksearch/gdesc2.asp?no=0008&amp;search=&amp;search2=&amp;db=e&amp;tab=0&amp;notabs=&amp;nf=1&amp;af=&amp;ll=10"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1111/ajps.12319" TargetMode="External"/><Relationship Id="rId1" Type="http://schemas.openxmlformats.org/officeDocument/2006/relationships/hyperlink" Target="https://yougov.co.uk/topics/politics/articles-reports/2016/06/21/yougov-referendum-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Gilling</dc:creator>
  <cp:keywords/>
  <dc:description/>
  <cp:lastModifiedBy>Gabriel Gilling</cp:lastModifiedBy>
  <cp:revision>49</cp:revision>
  <dcterms:created xsi:type="dcterms:W3CDTF">2020-10-23T00:05:00Z</dcterms:created>
  <dcterms:modified xsi:type="dcterms:W3CDTF">2020-10-23T02:32:00Z</dcterms:modified>
</cp:coreProperties>
</file>