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85872" w14:textId="101E2261" w:rsidR="00097072" w:rsidRDefault="00097072"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48"/>
          <w:szCs w:val="48"/>
          <w:lang w:eastAsia="zh-CN"/>
        </w:rPr>
      </w:pPr>
      <w:r w:rsidRPr="00097072">
        <w:rPr>
          <w:rFonts w:ascii="Times New Roman" w:eastAsia="Times New Roman" w:hAnsi="Times New Roman" w:cs="Times New Roman"/>
          <w:b/>
          <w:bCs/>
          <w:i/>
          <w:iCs/>
          <w:color w:val="24292E"/>
          <w:kern w:val="36"/>
          <w:sz w:val="48"/>
          <w:szCs w:val="48"/>
          <w:lang w:eastAsia="zh-CN"/>
        </w:rPr>
        <w:t xml:space="preserve">Mr. P Visits </w:t>
      </w:r>
      <w:r w:rsidR="00B47607">
        <w:rPr>
          <w:rFonts w:ascii="Times New Roman" w:eastAsia="Times New Roman" w:hAnsi="Times New Roman" w:cs="Times New Roman"/>
          <w:b/>
          <w:bCs/>
          <w:i/>
          <w:iCs/>
          <w:color w:val="24292E"/>
          <w:kern w:val="36"/>
          <w:sz w:val="48"/>
          <w:szCs w:val="48"/>
          <w:lang w:eastAsia="zh-CN"/>
        </w:rPr>
        <w:t>Strasburg</w:t>
      </w:r>
      <w:r w:rsidRPr="00097072">
        <w:rPr>
          <w:rFonts w:ascii="Times New Roman" w:eastAsia="Times New Roman" w:hAnsi="Times New Roman" w:cs="Times New Roman"/>
          <w:b/>
          <w:bCs/>
          <w:i/>
          <w:iCs/>
          <w:color w:val="24292E"/>
          <w:kern w:val="36"/>
          <w:sz w:val="48"/>
          <w:szCs w:val="48"/>
          <w:lang w:eastAsia="zh-CN"/>
        </w:rPr>
        <w:t>: An Investigation of the Democratic Deficit in the European Union</w:t>
      </w:r>
      <w:r w:rsidR="00293815">
        <w:rPr>
          <w:rStyle w:val="FootnoteReference"/>
          <w:rFonts w:ascii="Times New Roman" w:eastAsia="Times New Roman" w:hAnsi="Times New Roman" w:cs="Times New Roman"/>
          <w:b/>
          <w:bCs/>
          <w:i/>
          <w:iCs/>
          <w:color w:val="24292E"/>
          <w:kern w:val="36"/>
          <w:sz w:val="48"/>
          <w:szCs w:val="48"/>
          <w:lang w:eastAsia="zh-CN"/>
        </w:rPr>
        <w:footnoteReference w:customMarkFollows="1" w:id="1"/>
        <w:t>*</w:t>
      </w:r>
    </w:p>
    <w:p w14:paraId="66B3330A" w14:textId="0AEF5C61" w:rsidR="00097072" w:rsidRDefault="00A74EBE"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r>
        <w:rPr>
          <w:rFonts w:ascii="Times New Roman" w:eastAsia="Times New Roman" w:hAnsi="Times New Roman" w:cs="Times New Roman"/>
          <w:b/>
          <w:bCs/>
          <w:color w:val="24292E"/>
          <w:kern w:val="36"/>
          <w:sz w:val="32"/>
          <w:szCs w:val="32"/>
          <w:lang w:eastAsia="zh-CN"/>
        </w:rPr>
        <w:t xml:space="preserve">Fall 2020 </w:t>
      </w:r>
      <w:r w:rsidR="00CB106A">
        <w:rPr>
          <w:rFonts w:ascii="Times New Roman" w:eastAsia="Times New Roman" w:hAnsi="Times New Roman" w:cs="Times New Roman"/>
          <w:b/>
          <w:bCs/>
          <w:color w:val="24292E"/>
          <w:kern w:val="36"/>
          <w:sz w:val="32"/>
          <w:szCs w:val="32"/>
          <w:lang w:eastAsia="zh-CN"/>
        </w:rPr>
        <w:t>QMSS Thesis</w:t>
      </w:r>
    </w:p>
    <w:p w14:paraId="7129B52A" w14:textId="19A475A8" w:rsidR="00D36A10" w:rsidRPr="00CB106A" w:rsidRDefault="00D36A10"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p>
    <w:p w14:paraId="5FA9F5E5" w14:textId="276CDF1E" w:rsidR="00F41785" w:rsidRDefault="00F41785" w:rsidP="00F41785">
      <w:pPr>
        <w:spacing w:line="480" w:lineRule="auto"/>
        <w:jc w:val="center"/>
        <w:rPr>
          <w:rFonts w:ascii="Times New Roman" w:hAnsi="Times New Roman" w:cs="Times New Roman"/>
          <w:b/>
          <w:bCs/>
        </w:rPr>
      </w:pPr>
      <w:r>
        <w:rPr>
          <w:rFonts w:ascii="Times New Roman" w:hAnsi="Times New Roman" w:cs="Times New Roman"/>
          <w:b/>
          <w:bCs/>
        </w:rPr>
        <w:t>Abstract</w:t>
      </w:r>
    </w:p>
    <w:p w14:paraId="6317362C" w14:textId="44908189" w:rsidR="00E00D96" w:rsidRDefault="00F41785" w:rsidP="00FB1343">
      <w:pPr>
        <w:ind w:firstLine="360"/>
        <w:jc w:val="center"/>
        <w:rPr>
          <w:rFonts w:ascii="Times New Roman" w:hAnsi="Times New Roman" w:cs="Times New Roman"/>
        </w:rPr>
      </w:pPr>
      <w:r>
        <w:rPr>
          <w:rFonts w:ascii="Times New Roman" w:hAnsi="Times New Roman" w:cs="Times New Roman"/>
        </w:rPr>
        <w:t xml:space="preserve">The existence of a democratic deficit in the European Union (EU) has been a matter of controversy in academia, in the media and has very real implications for policymakers in Europe. Are European citizens actually represented by the EU? If not, then what drives the voting behaviors of the Members of the European Parliament (MEPs), the only democratically elected officials that make up the EU government? </w:t>
      </w:r>
      <w:r w:rsidR="00CF0479">
        <w:rPr>
          <w:rFonts w:ascii="Times New Roman" w:hAnsi="Times New Roman" w:cs="Times New Roman"/>
        </w:rPr>
        <w:t xml:space="preserve">Using </w:t>
      </w:r>
      <w:r w:rsidR="00FB1343">
        <w:rPr>
          <w:rFonts w:ascii="Times New Roman" w:hAnsi="Times New Roman" w:cs="Times New Roman"/>
        </w:rPr>
        <w:t xml:space="preserve">a Bayesian approach to </w:t>
      </w:r>
      <w:r w:rsidR="00CF0479">
        <w:rPr>
          <w:rFonts w:ascii="Times New Roman" w:hAnsi="Times New Roman" w:cs="Times New Roman"/>
        </w:rPr>
        <w:t>M</w:t>
      </w:r>
      <w:r w:rsidR="00FB1343">
        <w:rPr>
          <w:rFonts w:ascii="Times New Roman" w:hAnsi="Times New Roman" w:cs="Times New Roman"/>
        </w:rPr>
        <w:t>ultilevel-</w:t>
      </w:r>
      <w:r w:rsidR="00CF0479">
        <w:rPr>
          <w:rFonts w:ascii="Times New Roman" w:hAnsi="Times New Roman" w:cs="Times New Roman"/>
        </w:rPr>
        <w:t>R</w:t>
      </w:r>
      <w:r w:rsidR="00FB1343">
        <w:rPr>
          <w:rFonts w:ascii="Times New Roman" w:hAnsi="Times New Roman" w:cs="Times New Roman"/>
        </w:rPr>
        <w:t xml:space="preserve">egression and Poststratification to estimate voter preferences at the subnational level, this paper investigates </w:t>
      </w:r>
      <w:r w:rsidR="00E00D96">
        <w:rPr>
          <w:rFonts w:ascii="Times New Roman" w:hAnsi="Times New Roman" w:cs="Times New Roman"/>
        </w:rPr>
        <w:t xml:space="preserve">the democratic deficit in the European Union by correlating preferences with </w:t>
      </w:r>
      <w:r w:rsidR="00FB1343">
        <w:rPr>
          <w:rFonts w:ascii="Times New Roman" w:hAnsi="Times New Roman" w:cs="Times New Roman"/>
        </w:rPr>
        <w:t>MEP</w:t>
      </w:r>
      <w:r w:rsidR="00E00D96">
        <w:rPr>
          <w:rFonts w:ascii="Times New Roman" w:hAnsi="Times New Roman" w:cs="Times New Roman"/>
        </w:rPr>
        <w:t xml:space="preserve"> </w:t>
      </w:r>
      <w:r w:rsidR="00FB1343">
        <w:rPr>
          <w:rFonts w:ascii="Times New Roman" w:hAnsi="Times New Roman" w:cs="Times New Roman"/>
        </w:rPr>
        <w:t xml:space="preserve">roll call votes </w:t>
      </w:r>
      <w:r w:rsidR="00E00D96">
        <w:rPr>
          <w:rFonts w:ascii="Times New Roman" w:hAnsi="Times New Roman" w:cs="Times New Roman"/>
        </w:rPr>
        <w:t xml:space="preserve">in </w:t>
      </w:r>
      <w:r w:rsidR="00FB1343">
        <w:rPr>
          <w:rFonts w:ascii="Times New Roman" w:hAnsi="Times New Roman" w:cs="Times New Roman"/>
        </w:rPr>
        <w:t xml:space="preserve">a novel setting, and </w:t>
      </w:r>
      <w:r w:rsidR="006E311F">
        <w:rPr>
          <w:rFonts w:ascii="Times New Roman" w:hAnsi="Times New Roman" w:cs="Times New Roman"/>
        </w:rPr>
        <w:t>finds</w:t>
      </w:r>
      <w:r w:rsidR="00FB1343">
        <w:rPr>
          <w:rFonts w:ascii="Times New Roman" w:hAnsi="Times New Roman" w:cs="Times New Roman"/>
        </w:rPr>
        <w:t xml:space="preserve"> that …</w:t>
      </w:r>
      <w:r w:rsidR="00E00D96">
        <w:rPr>
          <w:rFonts w:ascii="Times New Roman" w:hAnsi="Times New Roman" w:cs="Times New Roman"/>
        </w:rPr>
        <w:t xml:space="preserve"> </w:t>
      </w:r>
    </w:p>
    <w:p w14:paraId="7E64261E" w14:textId="77777777" w:rsidR="00E00D96" w:rsidRDefault="00E00D96" w:rsidP="00F41785">
      <w:pPr>
        <w:ind w:firstLine="360"/>
        <w:jc w:val="center"/>
        <w:rPr>
          <w:rFonts w:ascii="Times New Roman" w:hAnsi="Times New Roman" w:cs="Times New Roman"/>
        </w:rPr>
      </w:pPr>
    </w:p>
    <w:p w14:paraId="5F12A77D" w14:textId="77777777" w:rsidR="00F41785" w:rsidRDefault="00F41785" w:rsidP="00F41785">
      <w:pPr>
        <w:spacing w:line="480" w:lineRule="auto"/>
        <w:jc w:val="center"/>
        <w:rPr>
          <w:rFonts w:ascii="Times New Roman" w:hAnsi="Times New Roman" w:cs="Times New Roman"/>
          <w:b/>
          <w:bCs/>
        </w:rPr>
      </w:pPr>
    </w:p>
    <w:p w14:paraId="2A781F18" w14:textId="21D631D5" w:rsidR="00F41785" w:rsidRDefault="00F41785" w:rsidP="006626D2">
      <w:pPr>
        <w:spacing w:line="480" w:lineRule="auto"/>
        <w:rPr>
          <w:rFonts w:ascii="Times New Roman" w:hAnsi="Times New Roman" w:cs="Times New Roman"/>
          <w:b/>
          <w:bCs/>
        </w:rPr>
      </w:pPr>
    </w:p>
    <w:p w14:paraId="314270CD" w14:textId="5CEE39B2" w:rsidR="004435AE" w:rsidRDefault="004435AE" w:rsidP="006626D2">
      <w:pPr>
        <w:spacing w:line="480" w:lineRule="auto"/>
        <w:rPr>
          <w:rFonts w:ascii="Times New Roman" w:hAnsi="Times New Roman" w:cs="Times New Roman"/>
          <w:b/>
          <w:bCs/>
        </w:rPr>
      </w:pPr>
    </w:p>
    <w:p w14:paraId="3A28379C" w14:textId="33EA1C43" w:rsidR="004435AE" w:rsidRDefault="004435AE" w:rsidP="006626D2">
      <w:pPr>
        <w:spacing w:line="480" w:lineRule="auto"/>
        <w:rPr>
          <w:rFonts w:ascii="Times New Roman" w:hAnsi="Times New Roman" w:cs="Times New Roman"/>
          <w:b/>
          <w:bCs/>
        </w:rPr>
      </w:pPr>
    </w:p>
    <w:p w14:paraId="374AFFD8" w14:textId="5345E293" w:rsidR="004435AE" w:rsidRDefault="004435AE" w:rsidP="006626D2">
      <w:pPr>
        <w:spacing w:line="480" w:lineRule="auto"/>
        <w:rPr>
          <w:rFonts w:ascii="Times New Roman" w:hAnsi="Times New Roman" w:cs="Times New Roman"/>
          <w:b/>
          <w:bCs/>
        </w:rPr>
      </w:pPr>
    </w:p>
    <w:p w14:paraId="3B120AD4" w14:textId="3E36304C" w:rsidR="004435AE" w:rsidRDefault="004435AE" w:rsidP="006626D2">
      <w:pPr>
        <w:spacing w:line="480" w:lineRule="auto"/>
        <w:rPr>
          <w:rFonts w:ascii="Times New Roman" w:hAnsi="Times New Roman" w:cs="Times New Roman"/>
          <w:b/>
          <w:bCs/>
        </w:rPr>
      </w:pPr>
    </w:p>
    <w:p w14:paraId="3FE79FD0" w14:textId="33EABDFD" w:rsidR="004435AE" w:rsidRDefault="004435AE" w:rsidP="006626D2">
      <w:pPr>
        <w:spacing w:line="480" w:lineRule="auto"/>
        <w:rPr>
          <w:rFonts w:ascii="Times New Roman" w:hAnsi="Times New Roman" w:cs="Times New Roman"/>
          <w:b/>
          <w:bCs/>
        </w:rPr>
      </w:pPr>
    </w:p>
    <w:p w14:paraId="4F875B11" w14:textId="2BCAB322" w:rsidR="004435AE" w:rsidRDefault="004435AE" w:rsidP="006626D2">
      <w:pPr>
        <w:spacing w:line="480" w:lineRule="auto"/>
        <w:rPr>
          <w:rFonts w:ascii="Times New Roman" w:hAnsi="Times New Roman" w:cs="Times New Roman"/>
          <w:b/>
          <w:bCs/>
        </w:rPr>
      </w:pPr>
    </w:p>
    <w:p w14:paraId="57E7FC23" w14:textId="77777777" w:rsidR="00171CE1" w:rsidRDefault="00171CE1" w:rsidP="006626D2">
      <w:pPr>
        <w:spacing w:line="480" w:lineRule="auto"/>
        <w:rPr>
          <w:rFonts w:ascii="Times New Roman" w:hAnsi="Times New Roman" w:cs="Times New Roman"/>
          <w:b/>
          <w:bCs/>
        </w:rPr>
      </w:pPr>
    </w:p>
    <w:p w14:paraId="0107828C" w14:textId="04D2129D" w:rsidR="004435AE" w:rsidRDefault="00F66F42" w:rsidP="005F12C9">
      <w:pPr>
        <w:spacing w:line="480" w:lineRule="auto"/>
        <w:ind w:right="480"/>
        <w:jc w:val="right"/>
        <w:rPr>
          <w:rFonts w:ascii="Times New Roman" w:hAnsi="Times New Roman" w:cs="Times New Roman"/>
        </w:rPr>
      </w:pPr>
      <w:r>
        <w:rPr>
          <w:rFonts w:ascii="Times New Roman" w:hAnsi="Times New Roman" w:cs="Times New Roman"/>
        </w:rPr>
        <w:t xml:space="preserve">Gabriel Gilling – </w:t>
      </w:r>
      <w:hyperlink r:id="rId7" w:history="1">
        <w:r w:rsidRPr="00F87AD4">
          <w:rPr>
            <w:rStyle w:val="Hyperlink"/>
            <w:rFonts w:ascii="Times New Roman" w:hAnsi="Times New Roman" w:cs="Times New Roman"/>
          </w:rPr>
          <w:t>gabriel.gilling@columbia.edu</w:t>
        </w:r>
      </w:hyperlink>
    </w:p>
    <w:p w14:paraId="2CF05EA5" w14:textId="6A997C98" w:rsidR="00F66F42" w:rsidRDefault="00F66F42" w:rsidP="00F66F42">
      <w:pPr>
        <w:spacing w:line="480" w:lineRule="auto"/>
        <w:jc w:val="right"/>
        <w:rPr>
          <w:rFonts w:ascii="Times New Roman" w:hAnsi="Times New Roman" w:cs="Times New Roman"/>
        </w:rPr>
      </w:pPr>
      <w:r>
        <w:rPr>
          <w:rFonts w:ascii="Times New Roman" w:hAnsi="Times New Roman" w:cs="Times New Roman"/>
        </w:rPr>
        <w:t>Advisor: Prof. Justin Phillips, Department of Political Science</w:t>
      </w:r>
    </w:p>
    <w:p w14:paraId="1823798F" w14:textId="69B045F1" w:rsidR="00A544D0" w:rsidRDefault="0094369F" w:rsidP="006626D2">
      <w:pPr>
        <w:spacing w:line="480" w:lineRule="auto"/>
        <w:rPr>
          <w:rFonts w:ascii="Times New Roman" w:hAnsi="Times New Roman" w:cs="Times New Roman"/>
          <w:b/>
          <w:bCs/>
        </w:rPr>
      </w:pPr>
      <w:proofErr w:type="gramStart"/>
      <w:r>
        <w:rPr>
          <w:rFonts w:ascii="Times New Roman" w:hAnsi="Times New Roman" w:cs="Times New Roman"/>
          <w:b/>
          <w:bCs/>
        </w:rPr>
        <w:lastRenderedPageBreak/>
        <w:t>I .</w:t>
      </w:r>
      <w:proofErr w:type="gramEnd"/>
      <w:r>
        <w:rPr>
          <w:rFonts w:ascii="Times New Roman" w:hAnsi="Times New Roman" w:cs="Times New Roman"/>
          <w:b/>
          <w:bCs/>
        </w:rPr>
        <w:t xml:space="preserve"> </w:t>
      </w:r>
      <w:r w:rsidR="00A544D0">
        <w:rPr>
          <w:rFonts w:ascii="Times New Roman" w:hAnsi="Times New Roman" w:cs="Times New Roman"/>
          <w:b/>
          <w:bCs/>
        </w:rPr>
        <w:t>Introduction</w:t>
      </w:r>
      <w:r>
        <w:rPr>
          <w:rFonts w:ascii="Times New Roman" w:hAnsi="Times New Roman" w:cs="Times New Roman"/>
          <w:b/>
          <w:bCs/>
        </w:rPr>
        <w:t xml:space="preserve"> </w:t>
      </w:r>
    </w:p>
    <w:p w14:paraId="4DF333A2" w14:textId="11976DE6"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History and the Structure of the European Parliament</w:t>
      </w:r>
    </w:p>
    <w:p w14:paraId="7104FE35" w14:textId="77777777" w:rsidR="00B70546" w:rsidRDefault="00A544D0" w:rsidP="001345A9">
      <w:pPr>
        <w:spacing w:line="480" w:lineRule="auto"/>
        <w:ind w:firstLine="360"/>
        <w:rPr>
          <w:rFonts w:ascii="Times New Roman" w:hAnsi="Times New Roman" w:cs="Times New Roman"/>
        </w:rPr>
      </w:pPr>
      <w:r>
        <w:rPr>
          <w:rFonts w:ascii="Times New Roman" w:hAnsi="Times New Roman" w:cs="Times New Roman"/>
        </w:rPr>
        <w:t>As the Second World War concluded, European leaders gathered to discuss the vision of a united and peaceful continent that would withstand the temptations of isolated and nationalistic movements that had ravaged the continent – and much of the rest of the world, for more than four decades. That vision initially would be achieved by way of economic integration and the creation of an integrated</w:t>
      </w:r>
      <w:r w:rsidR="00E70115">
        <w:rPr>
          <w:rFonts w:ascii="Times New Roman" w:hAnsi="Times New Roman" w:cs="Times New Roman"/>
        </w:rPr>
        <w:t xml:space="preserve"> and</w:t>
      </w:r>
      <w:r>
        <w:rPr>
          <w:rFonts w:ascii="Times New Roman" w:hAnsi="Times New Roman" w:cs="Times New Roman"/>
        </w:rPr>
        <w:t xml:space="preserve"> common market where goods and people could cross borders freely</w:t>
      </w:r>
      <w:r w:rsidR="00E70115">
        <w:rPr>
          <w:rFonts w:ascii="Times New Roman" w:hAnsi="Times New Roman" w:cs="Times New Roman"/>
        </w:rPr>
        <w:t xml:space="preserve">. As such, the 1951 Treaty of Paris established the European Coal and Steel Community (ECSC) with six founding members, Belgium, Italy, Luxembourg, the Netherlands and perhaps most importantly, France and West Germany – the establishment of the integrated economic market was designed in large part to keep the two countries from going to war again. </w:t>
      </w:r>
    </w:p>
    <w:p w14:paraId="758901B5" w14:textId="32E55B32" w:rsidR="002822D6" w:rsidRPr="009179D0" w:rsidRDefault="00E70115" w:rsidP="002822D6">
      <w:pPr>
        <w:spacing w:line="480" w:lineRule="auto"/>
        <w:ind w:firstLine="360"/>
        <w:rPr>
          <w:rFonts w:ascii="Times New Roman" w:hAnsi="Times New Roman" w:cs="Times New Roman"/>
        </w:rPr>
      </w:pPr>
      <w:r>
        <w:rPr>
          <w:rFonts w:ascii="Times New Roman" w:hAnsi="Times New Roman" w:cs="Times New Roman"/>
        </w:rPr>
        <w:t xml:space="preserve">Although a fledging instance of supranationalism, the ECSC’s structure would lay the foundations </w:t>
      </w:r>
      <w:r w:rsidR="009D0E9D">
        <w:rPr>
          <w:rFonts w:ascii="Times New Roman" w:hAnsi="Times New Roman" w:cs="Times New Roman"/>
        </w:rPr>
        <w:t>of the European Union</w:t>
      </w:r>
      <w:r w:rsidR="009D03A6">
        <w:rPr>
          <w:rFonts w:ascii="Times New Roman" w:hAnsi="Times New Roman" w:cs="Times New Roman"/>
        </w:rPr>
        <w:t xml:space="preserve"> (EU)</w:t>
      </w:r>
      <w:r w:rsidR="009D0E9D">
        <w:rPr>
          <w:rFonts w:ascii="Times New Roman" w:hAnsi="Times New Roman" w:cs="Times New Roman"/>
        </w:rPr>
        <w:t>.</w:t>
      </w:r>
      <w:r w:rsidR="00B70546">
        <w:rPr>
          <w:rFonts w:ascii="Times New Roman" w:hAnsi="Times New Roman" w:cs="Times New Roman"/>
        </w:rPr>
        <w:t xml:space="preserve"> For instance, the ECSC</w:t>
      </w:r>
      <w:r w:rsidR="007B3982">
        <w:rPr>
          <w:rFonts w:ascii="Times New Roman" w:hAnsi="Times New Roman" w:cs="Times New Roman"/>
        </w:rPr>
        <w:t xml:space="preserve"> had a consultative body called the Common Assembly, which would later become the European Parliament. Although it had no legislative powers at the time,</w:t>
      </w:r>
      <w:r w:rsidR="004D4954">
        <w:rPr>
          <w:rFonts w:ascii="Times New Roman" w:hAnsi="Times New Roman" w:cs="Times New Roman"/>
        </w:rPr>
        <w:t xml:space="preserve"> its function was largely to provide a forum where members could discuss and advise the nascent institutions, </w:t>
      </w:r>
      <w:r w:rsidR="007B3982">
        <w:rPr>
          <w:rFonts w:ascii="Times New Roman" w:hAnsi="Times New Roman" w:cs="Times New Roman"/>
        </w:rPr>
        <w:t>its body was drawn from the countries’ members of their respective national parliaments</w:t>
      </w:r>
      <w:r w:rsidR="004D4954">
        <w:rPr>
          <w:rFonts w:ascii="Times New Roman" w:hAnsi="Times New Roman" w:cs="Times New Roman"/>
        </w:rPr>
        <w:t>, thus creating a sense of dual</w:t>
      </w:r>
      <w:r w:rsidR="00614318">
        <w:rPr>
          <w:rFonts w:ascii="Times New Roman" w:hAnsi="Times New Roman" w:cs="Times New Roman"/>
        </w:rPr>
        <w:t xml:space="preserve"> - national and European - </w:t>
      </w:r>
      <w:r w:rsidR="004D4954">
        <w:rPr>
          <w:rFonts w:ascii="Times New Roman" w:hAnsi="Times New Roman" w:cs="Times New Roman"/>
        </w:rPr>
        <w:t>identity</w:t>
      </w:r>
      <w:r w:rsidR="00FE33CE">
        <w:rPr>
          <w:rFonts w:ascii="Times New Roman" w:hAnsi="Times New Roman" w:cs="Times New Roman"/>
        </w:rPr>
        <w:t xml:space="preserve"> for the parliamentarians. </w:t>
      </w:r>
      <w:r w:rsidR="00614318">
        <w:rPr>
          <w:rFonts w:ascii="Times New Roman" w:hAnsi="Times New Roman" w:cs="Times New Roman"/>
        </w:rPr>
        <w:t xml:space="preserve">As the European project grew, </w:t>
      </w:r>
      <w:r w:rsidR="00AB47C6">
        <w:rPr>
          <w:rFonts w:ascii="Times New Roman" w:hAnsi="Times New Roman" w:cs="Times New Roman"/>
        </w:rPr>
        <w:t>the Common Assembly underwent several transformations, renaming itself the European Parliamentary Assembly in 1958 and finally</w:t>
      </w:r>
      <w:r w:rsidR="000B01F8">
        <w:rPr>
          <w:rFonts w:ascii="Times New Roman" w:hAnsi="Times New Roman" w:cs="Times New Roman"/>
        </w:rPr>
        <w:t xml:space="preserve"> called itself the</w:t>
      </w:r>
      <w:r w:rsidR="00AB47C6">
        <w:rPr>
          <w:rFonts w:ascii="Times New Roman" w:hAnsi="Times New Roman" w:cs="Times New Roman"/>
        </w:rPr>
        <w:t xml:space="preserve"> European Parliament</w:t>
      </w:r>
      <w:r w:rsidR="005A41DE">
        <w:rPr>
          <w:rFonts w:ascii="Times New Roman" w:hAnsi="Times New Roman" w:cs="Times New Roman"/>
        </w:rPr>
        <w:t xml:space="preserve"> (EP)</w:t>
      </w:r>
      <w:r w:rsidR="00AB47C6">
        <w:rPr>
          <w:rFonts w:ascii="Times New Roman" w:hAnsi="Times New Roman" w:cs="Times New Roman"/>
        </w:rPr>
        <w:t xml:space="preserve"> in 1962</w:t>
      </w:r>
      <w:r w:rsidR="00AB47C6">
        <w:rPr>
          <w:rStyle w:val="FootnoteReference"/>
          <w:rFonts w:ascii="Times New Roman" w:hAnsi="Times New Roman" w:cs="Times New Roman"/>
        </w:rPr>
        <w:footnoteReference w:id="2"/>
      </w:r>
      <w:r w:rsidR="00AB47C6">
        <w:rPr>
          <w:rFonts w:ascii="Times New Roman" w:hAnsi="Times New Roman" w:cs="Times New Roman"/>
        </w:rPr>
        <w:t>.</w:t>
      </w:r>
      <w:r w:rsidR="000B01F8">
        <w:rPr>
          <w:rFonts w:ascii="Times New Roman" w:hAnsi="Times New Roman" w:cs="Times New Roman"/>
        </w:rPr>
        <w:t xml:space="preserve"> As the European Parliament gained powers, such as budget setting</w:t>
      </w:r>
      <w:r w:rsidR="00684B55">
        <w:rPr>
          <w:rFonts w:ascii="Times New Roman" w:hAnsi="Times New Roman" w:cs="Times New Roman"/>
        </w:rPr>
        <w:t xml:space="preserve"> (1970) or making ascension to the European Union subject to its approval (1975)</w:t>
      </w:r>
      <w:r w:rsidR="000B01F8">
        <w:rPr>
          <w:rFonts w:ascii="Times New Roman" w:hAnsi="Times New Roman" w:cs="Times New Roman"/>
        </w:rPr>
        <w:t xml:space="preserve">, its MEPs (Members of the European Parliament) held a </w:t>
      </w:r>
      <w:r w:rsidR="000B01F8">
        <w:rPr>
          <w:rFonts w:ascii="Times New Roman" w:hAnsi="Times New Roman" w:cs="Times New Roman"/>
        </w:rPr>
        <w:lastRenderedPageBreak/>
        <w:t>dual mandate, as they were still being drawn from national parliaments</w:t>
      </w:r>
      <w:r w:rsidR="000C7B73">
        <w:rPr>
          <w:rStyle w:val="FootnoteReference"/>
          <w:rFonts w:ascii="Times New Roman" w:hAnsi="Times New Roman" w:cs="Times New Roman"/>
        </w:rPr>
        <w:footnoteReference w:id="3"/>
      </w:r>
      <w:r w:rsidR="000B01F8">
        <w:rPr>
          <w:rFonts w:ascii="Times New Roman" w:hAnsi="Times New Roman" w:cs="Times New Roman"/>
        </w:rPr>
        <w:t>.</w:t>
      </w:r>
      <w:r w:rsidR="005E165D">
        <w:rPr>
          <w:rFonts w:ascii="Times New Roman" w:hAnsi="Times New Roman" w:cs="Times New Roman"/>
        </w:rPr>
        <w:t xml:space="preserve"> </w:t>
      </w:r>
      <w:r w:rsidR="000B01F8">
        <w:rPr>
          <w:rFonts w:ascii="Times New Roman" w:hAnsi="Times New Roman" w:cs="Times New Roman"/>
        </w:rPr>
        <w:t xml:space="preserve">This changed in </w:t>
      </w:r>
      <w:r w:rsidR="00AB47C6">
        <w:rPr>
          <w:rFonts w:ascii="Times New Roman" w:hAnsi="Times New Roman" w:cs="Times New Roman"/>
        </w:rPr>
        <w:t xml:space="preserve">1979, </w:t>
      </w:r>
      <w:r w:rsidR="000B01F8">
        <w:rPr>
          <w:rFonts w:ascii="Times New Roman" w:hAnsi="Times New Roman" w:cs="Times New Roman"/>
        </w:rPr>
        <w:t xml:space="preserve">when </w:t>
      </w:r>
      <w:r w:rsidR="00AB47C6">
        <w:rPr>
          <w:rFonts w:ascii="Times New Roman" w:hAnsi="Times New Roman" w:cs="Times New Roman"/>
        </w:rPr>
        <w:t xml:space="preserve">the first direct European </w:t>
      </w:r>
      <w:r w:rsidR="00B34381">
        <w:rPr>
          <w:rFonts w:ascii="Times New Roman" w:hAnsi="Times New Roman" w:cs="Times New Roman"/>
        </w:rPr>
        <w:t xml:space="preserve">elections </w:t>
      </w:r>
      <w:r w:rsidR="000B01F8">
        <w:rPr>
          <w:rFonts w:ascii="Times New Roman" w:hAnsi="Times New Roman" w:cs="Times New Roman"/>
        </w:rPr>
        <w:t>were held</w:t>
      </w:r>
      <w:r w:rsidR="00CA1958">
        <w:rPr>
          <w:rFonts w:ascii="Times New Roman" w:hAnsi="Times New Roman" w:cs="Times New Roman"/>
        </w:rPr>
        <w:t xml:space="preserve"> and 410 MEPs were elected</w:t>
      </w:r>
      <w:r w:rsidR="00C432E2">
        <w:rPr>
          <w:rFonts w:ascii="Times New Roman" w:hAnsi="Times New Roman" w:cs="Times New Roman"/>
        </w:rPr>
        <w:t>.</w:t>
      </w:r>
      <w:r w:rsidR="00C432E2">
        <w:rPr>
          <w:rStyle w:val="FootnoteReference"/>
          <w:rFonts w:ascii="Times New Roman" w:hAnsi="Times New Roman" w:cs="Times New Roman"/>
        </w:rPr>
        <w:footnoteReference w:customMarkFollows="1" w:id="4"/>
        <w:t>*</w:t>
      </w:r>
      <w:r w:rsidR="00CA1958">
        <w:rPr>
          <w:rFonts w:ascii="Times New Roman" w:hAnsi="Times New Roman" w:cs="Times New Roman"/>
        </w:rPr>
        <w:t xml:space="preserve"> </w:t>
      </w:r>
      <w:r w:rsidR="005A41DE">
        <w:rPr>
          <w:rFonts w:ascii="Times New Roman" w:hAnsi="Times New Roman" w:cs="Times New Roman"/>
        </w:rPr>
        <w:t>As the E.U. expanded in the following years, so did the size of the EP</w:t>
      </w:r>
      <w:r w:rsidR="002B05F9">
        <w:rPr>
          <w:rFonts w:ascii="Times New Roman" w:hAnsi="Times New Roman" w:cs="Times New Roman"/>
        </w:rPr>
        <w:t xml:space="preserve">: the 2019 elections saw the </w:t>
      </w:r>
      <w:r w:rsidR="003F5BDD">
        <w:rPr>
          <w:rFonts w:ascii="Times New Roman" w:hAnsi="Times New Roman" w:cs="Times New Roman"/>
        </w:rPr>
        <w:t>swearing in</w:t>
      </w:r>
      <w:r w:rsidR="002B05F9">
        <w:rPr>
          <w:rFonts w:ascii="Times New Roman" w:hAnsi="Times New Roman" w:cs="Times New Roman"/>
        </w:rPr>
        <w:t xml:space="preserve"> of 7</w:t>
      </w:r>
      <w:r w:rsidR="00580D29">
        <w:rPr>
          <w:rFonts w:ascii="Times New Roman" w:hAnsi="Times New Roman" w:cs="Times New Roman"/>
        </w:rPr>
        <w:t>51</w:t>
      </w:r>
      <w:r w:rsidR="002B05F9">
        <w:rPr>
          <w:rFonts w:ascii="Times New Roman" w:hAnsi="Times New Roman" w:cs="Times New Roman"/>
        </w:rPr>
        <w:t xml:space="preserve"> MEPs</w:t>
      </w:r>
      <w:r w:rsidR="00580D29">
        <w:rPr>
          <w:rFonts w:ascii="Times New Roman" w:hAnsi="Times New Roman" w:cs="Times New Roman"/>
        </w:rPr>
        <w:t>, although th</w:t>
      </w:r>
      <w:r w:rsidR="00B46F0A">
        <w:rPr>
          <w:rFonts w:ascii="Times New Roman" w:hAnsi="Times New Roman" w:cs="Times New Roman"/>
        </w:rPr>
        <w:t>is</w:t>
      </w:r>
      <w:r w:rsidR="00580D29">
        <w:rPr>
          <w:rFonts w:ascii="Times New Roman" w:hAnsi="Times New Roman" w:cs="Times New Roman"/>
        </w:rPr>
        <w:t xml:space="preserve"> number has been reduced to 705 after the departure of the United Kingdom in 2020.</w:t>
      </w:r>
      <w:r w:rsidR="00FE6B30">
        <w:rPr>
          <w:rFonts w:ascii="Times New Roman" w:hAnsi="Times New Roman" w:cs="Times New Roman"/>
        </w:rPr>
        <w:t xml:space="preserve"> MEPs typically run on a party ticket, with national </w:t>
      </w:r>
      <w:r w:rsidR="002822D6">
        <w:rPr>
          <w:rFonts w:ascii="Times New Roman" w:hAnsi="Times New Roman" w:cs="Times New Roman"/>
        </w:rPr>
        <w:t xml:space="preserve">political parties forming European-wide coalitions. </w:t>
      </w:r>
      <w:r w:rsidR="009179D0">
        <w:rPr>
          <w:rFonts w:ascii="Times New Roman" w:hAnsi="Times New Roman" w:cs="Times New Roman"/>
        </w:rPr>
        <w:t xml:space="preserve">For instance, the largest group at the EP since 1999 is the European People’s Party, a center-right coalition made up of national parties such as Germany’s </w:t>
      </w:r>
      <w:r w:rsidR="009179D0" w:rsidRPr="009179D0">
        <w:rPr>
          <w:rFonts w:ascii="Times New Roman" w:hAnsi="Times New Roman" w:cs="Times New Roman"/>
          <w:i/>
          <w:iCs/>
        </w:rPr>
        <w:t>Christian-Democratic Union</w:t>
      </w:r>
      <w:r w:rsidR="009179D0">
        <w:rPr>
          <w:rFonts w:ascii="Times New Roman" w:hAnsi="Times New Roman" w:cs="Times New Roman"/>
        </w:rPr>
        <w:t xml:space="preserve">, France’s </w:t>
      </w:r>
      <w:r w:rsidR="009179D0">
        <w:rPr>
          <w:rFonts w:ascii="Times New Roman" w:hAnsi="Times New Roman" w:cs="Times New Roman"/>
          <w:i/>
          <w:iCs/>
        </w:rPr>
        <w:t xml:space="preserve">Les </w:t>
      </w:r>
      <w:proofErr w:type="spellStart"/>
      <w:r w:rsidR="009179D0">
        <w:rPr>
          <w:rFonts w:ascii="Times New Roman" w:hAnsi="Times New Roman" w:cs="Times New Roman"/>
          <w:i/>
          <w:iCs/>
        </w:rPr>
        <w:t>Republicains</w:t>
      </w:r>
      <w:proofErr w:type="spellEnd"/>
      <w:r w:rsidR="009179D0">
        <w:rPr>
          <w:rFonts w:ascii="Times New Roman" w:hAnsi="Times New Roman" w:cs="Times New Roman"/>
        </w:rPr>
        <w:t xml:space="preserve">, Italy’s </w:t>
      </w:r>
      <w:r w:rsidR="009179D0">
        <w:rPr>
          <w:rFonts w:ascii="Times New Roman" w:hAnsi="Times New Roman" w:cs="Times New Roman"/>
          <w:i/>
          <w:iCs/>
        </w:rPr>
        <w:t>Forza Italia</w:t>
      </w:r>
      <w:r w:rsidR="009179D0">
        <w:rPr>
          <w:rFonts w:ascii="Times New Roman" w:hAnsi="Times New Roman" w:cs="Times New Roman"/>
        </w:rPr>
        <w:t xml:space="preserve"> and so forth, covering all 26 member states.</w:t>
      </w:r>
      <w:r w:rsidR="006A001C">
        <w:rPr>
          <w:rFonts w:ascii="Times New Roman" w:hAnsi="Times New Roman" w:cs="Times New Roman"/>
        </w:rPr>
        <w:t xml:space="preserve"> Elections are held every 5 years and have more then 400 million eligible voters, representing the largest transnational elections in the world.</w:t>
      </w:r>
    </w:p>
    <w:p w14:paraId="1A9ABDA7" w14:textId="77777777" w:rsidR="001A544C" w:rsidRDefault="00E05734" w:rsidP="005E165D">
      <w:pPr>
        <w:spacing w:line="480" w:lineRule="auto"/>
        <w:ind w:firstLine="360"/>
        <w:rPr>
          <w:rFonts w:ascii="Times New Roman" w:hAnsi="Times New Roman" w:cs="Times New Roman"/>
        </w:rPr>
      </w:pPr>
      <w:r>
        <w:rPr>
          <w:rFonts w:ascii="Times New Roman" w:hAnsi="Times New Roman" w:cs="Times New Roman"/>
        </w:rPr>
        <w:t>The EP is one of the two legislative bodies of the EU,</w:t>
      </w:r>
      <w:r w:rsidR="00BA7EE1">
        <w:rPr>
          <w:rFonts w:ascii="Times New Roman" w:hAnsi="Times New Roman" w:cs="Times New Roman"/>
        </w:rPr>
        <w:t xml:space="preserve"> representing the interest of its citizens, while</w:t>
      </w:r>
      <w:r>
        <w:rPr>
          <w:rFonts w:ascii="Times New Roman" w:hAnsi="Times New Roman" w:cs="Times New Roman"/>
        </w:rPr>
        <w:t xml:space="preserve"> the </w:t>
      </w:r>
      <w:r w:rsidR="009876E5">
        <w:rPr>
          <w:rFonts w:ascii="Times New Roman" w:hAnsi="Times New Roman" w:cs="Times New Roman"/>
        </w:rPr>
        <w:t xml:space="preserve">Council of the </w:t>
      </w:r>
      <w:r>
        <w:rPr>
          <w:rFonts w:ascii="Times New Roman" w:hAnsi="Times New Roman" w:cs="Times New Roman"/>
        </w:rPr>
        <w:t>E</w:t>
      </w:r>
      <w:r w:rsidR="009876E5">
        <w:rPr>
          <w:rFonts w:ascii="Times New Roman" w:hAnsi="Times New Roman" w:cs="Times New Roman"/>
        </w:rPr>
        <w:t>U</w:t>
      </w:r>
      <w:r w:rsidR="00BA7EE1">
        <w:rPr>
          <w:rFonts w:ascii="Times New Roman" w:hAnsi="Times New Roman" w:cs="Times New Roman"/>
        </w:rPr>
        <w:t xml:space="preserve"> represents the interests of the national governments, and is made up of ministers from the member states.</w:t>
      </w:r>
      <w:r w:rsidR="009876E5">
        <w:rPr>
          <w:rFonts w:ascii="Times New Roman" w:hAnsi="Times New Roman" w:cs="Times New Roman"/>
        </w:rPr>
        <w:t xml:space="preserve"> Both bodies receive legal proposals from the European Commission</w:t>
      </w:r>
      <w:r w:rsidR="00012B4A">
        <w:rPr>
          <w:rFonts w:ascii="Times New Roman" w:hAnsi="Times New Roman" w:cs="Times New Roman"/>
        </w:rPr>
        <w:t xml:space="preserve"> (EC)</w:t>
      </w:r>
      <w:r w:rsidR="009876E5">
        <w:rPr>
          <w:rFonts w:ascii="Times New Roman" w:hAnsi="Times New Roman" w:cs="Times New Roman"/>
        </w:rPr>
        <w:t xml:space="preserve"> and typically engage in a back-and-forth, amending the laws before agreeing to and voting on a final version.</w:t>
      </w:r>
      <w:r w:rsidR="00D27AC6">
        <w:rPr>
          <w:rFonts w:ascii="Times New Roman" w:hAnsi="Times New Roman" w:cs="Times New Roman"/>
        </w:rPr>
        <w:t xml:space="preserve"> Other functions of the EP include voting on international agreements, deciding on enlargement, allocating the budget, as well as a plethora of other supervisory and advisory functions</w:t>
      </w:r>
      <w:r w:rsidR="00D27AC6">
        <w:rPr>
          <w:rStyle w:val="FootnoteReference"/>
          <w:rFonts w:ascii="Times New Roman" w:hAnsi="Times New Roman" w:cs="Times New Roman"/>
        </w:rPr>
        <w:footnoteReference w:id="5"/>
      </w:r>
      <w:r w:rsidR="00D27AC6">
        <w:rPr>
          <w:rFonts w:ascii="Times New Roman" w:hAnsi="Times New Roman" w:cs="Times New Roman"/>
        </w:rPr>
        <w:t>.</w:t>
      </w:r>
      <w:r w:rsidR="00012B4A">
        <w:rPr>
          <w:rFonts w:ascii="Times New Roman" w:hAnsi="Times New Roman" w:cs="Times New Roman"/>
        </w:rPr>
        <w:t xml:space="preserve"> </w:t>
      </w:r>
    </w:p>
    <w:p w14:paraId="4931186A" w14:textId="63A63927" w:rsidR="001E6B56" w:rsidRDefault="00A97299" w:rsidP="00DF5A9A">
      <w:pPr>
        <w:spacing w:line="480" w:lineRule="auto"/>
        <w:ind w:firstLine="360"/>
        <w:rPr>
          <w:rFonts w:ascii="Times New Roman" w:hAnsi="Times New Roman" w:cs="Times New Roman"/>
        </w:rPr>
      </w:pPr>
      <w:r>
        <w:rPr>
          <w:rFonts w:ascii="Times New Roman" w:hAnsi="Times New Roman" w:cs="Times New Roman"/>
        </w:rPr>
        <w:t>However, there is a substantial distance between the aforementioned functions as they are laid out theoretically, and how affairs are conducted in reality</w:t>
      </w:r>
      <w:r w:rsidR="002E3D24">
        <w:rPr>
          <w:rFonts w:ascii="Times New Roman" w:hAnsi="Times New Roman" w:cs="Times New Roman"/>
        </w:rPr>
        <w:t xml:space="preserve">. As the next section explains, a </w:t>
      </w:r>
      <w:r w:rsidR="002E3D24">
        <w:rPr>
          <w:rFonts w:ascii="Times New Roman" w:hAnsi="Times New Roman" w:cs="Times New Roman"/>
        </w:rPr>
        <w:lastRenderedPageBreak/>
        <w:t>major criticism of the EU stems from the EP’s perceived “democratic deficit”: flaws in its structural</w:t>
      </w:r>
      <w:r>
        <w:rPr>
          <w:rFonts w:ascii="Times New Roman" w:hAnsi="Times New Roman" w:cs="Times New Roman"/>
        </w:rPr>
        <w:t xml:space="preserve"> relationship with the other EU institutions</w:t>
      </w:r>
      <w:r w:rsidR="002E3D24">
        <w:rPr>
          <w:rFonts w:ascii="Times New Roman" w:hAnsi="Times New Roman" w:cs="Times New Roman"/>
        </w:rPr>
        <w:t xml:space="preserve"> and confusion around the nature of the MEPs’ representation of the EU citizens.</w:t>
      </w:r>
    </w:p>
    <w:p w14:paraId="5DD5E6BA" w14:textId="795FDBC8" w:rsidR="00012B4A" w:rsidRDefault="00012B4A" w:rsidP="005E165D">
      <w:pPr>
        <w:spacing w:line="480" w:lineRule="auto"/>
        <w:ind w:firstLine="360"/>
        <w:rPr>
          <w:rFonts w:ascii="Times New Roman" w:hAnsi="Times New Roman" w:cs="Times New Roman"/>
        </w:rPr>
      </w:pPr>
    </w:p>
    <w:p w14:paraId="6D7F6F94" w14:textId="1D73DB4D"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“Democratic Deficit”</w:t>
      </w:r>
    </w:p>
    <w:p w14:paraId="04B5240B" w14:textId="43A13A8E" w:rsidR="00BD0B87" w:rsidRDefault="00BD0B87" w:rsidP="00BD0B87">
      <w:pPr>
        <w:spacing w:line="480" w:lineRule="auto"/>
        <w:ind w:firstLine="360"/>
        <w:rPr>
          <w:rFonts w:ascii="Times New Roman" w:hAnsi="Times New Roman" w:cs="Times New Roman"/>
          <w:lang w:eastAsia="zh-CN"/>
        </w:rPr>
      </w:pPr>
      <w:r>
        <w:rPr>
          <w:rFonts w:ascii="Times New Roman" w:hAnsi="Times New Roman" w:cs="Times New Roman"/>
        </w:rPr>
        <w:t xml:space="preserve">Since its inception, the European project has received much praise. Its goal, to make war between France and Germany </w:t>
      </w:r>
      <w:r w:rsidRPr="00BD0B87">
        <w:rPr>
          <w:rFonts w:ascii="Times New Roman" w:hAnsi="Times New Roman" w:cs="Times New Roman"/>
        </w:rPr>
        <w:t>“</w:t>
      </w:r>
      <w:r w:rsidRPr="00BD0B87">
        <w:rPr>
          <w:rFonts w:ascii="Times New Roman" w:hAnsi="Times New Roman" w:cs="Times New Roman"/>
          <w:lang w:eastAsia="zh-CN"/>
        </w:rPr>
        <w:t>not merely unthinkable, but materially impossible</w:t>
      </w:r>
      <w:r>
        <w:rPr>
          <w:rFonts w:ascii="Times New Roman" w:hAnsi="Times New Roman" w:cs="Times New Roman"/>
          <w:lang w:eastAsia="zh-CN"/>
        </w:rPr>
        <w:t>” as put by the French Foreign Minister Schuman</w:t>
      </w:r>
      <w:r w:rsidR="00116A87">
        <w:rPr>
          <w:rFonts w:ascii="Times New Roman" w:hAnsi="Times New Roman" w:cs="Times New Roman"/>
          <w:lang w:eastAsia="zh-CN"/>
        </w:rPr>
        <w:t xml:space="preserve"> is very much an ongoing success. The creation of the world’s largest single market, as well as the adoption of a single currency (the Euro), </w:t>
      </w:r>
      <w:r w:rsidR="00542A24">
        <w:rPr>
          <w:rFonts w:ascii="Times New Roman" w:hAnsi="Times New Roman" w:cs="Times New Roman"/>
          <w:lang w:eastAsia="zh-CN"/>
        </w:rPr>
        <w:t>has fostered unprecedented economic growth for both the European continent and the rest of the world, by simplifying rules</w:t>
      </w:r>
      <w:r w:rsidR="00B732A1">
        <w:rPr>
          <w:rFonts w:ascii="Times New Roman" w:hAnsi="Times New Roman" w:cs="Times New Roman"/>
          <w:lang w:eastAsia="zh-CN"/>
        </w:rPr>
        <w:t xml:space="preserve">, </w:t>
      </w:r>
      <w:r w:rsidR="00542A24">
        <w:rPr>
          <w:rFonts w:ascii="Times New Roman" w:hAnsi="Times New Roman" w:cs="Times New Roman"/>
          <w:lang w:eastAsia="zh-CN"/>
        </w:rPr>
        <w:t>harmonizing standards</w:t>
      </w:r>
      <w:r w:rsidR="00B732A1">
        <w:rPr>
          <w:rFonts w:ascii="Times New Roman" w:hAnsi="Times New Roman" w:cs="Times New Roman"/>
          <w:lang w:eastAsia="zh-CN"/>
        </w:rPr>
        <w:t xml:space="preserve"> and stimulating international trade and investment</w:t>
      </w:r>
      <w:r w:rsidR="00542A24">
        <w:rPr>
          <w:rFonts w:ascii="Times New Roman" w:hAnsi="Times New Roman" w:cs="Times New Roman"/>
          <w:lang w:eastAsia="zh-CN"/>
        </w:rPr>
        <w:t xml:space="preserve">. </w:t>
      </w:r>
      <w:r w:rsidR="00AA728A">
        <w:rPr>
          <w:rFonts w:ascii="Times New Roman" w:hAnsi="Times New Roman" w:cs="Times New Roman"/>
          <w:lang w:eastAsia="zh-CN"/>
        </w:rPr>
        <w:t xml:space="preserve">The ascension of Eastern European states after the end of the Cold War, conditional on democratic and social reform, has pushed these states to adopt more </w:t>
      </w:r>
      <w:r w:rsidR="00FC5F0F">
        <w:rPr>
          <w:rFonts w:ascii="Times New Roman" w:hAnsi="Times New Roman" w:cs="Times New Roman"/>
          <w:lang w:eastAsia="zh-CN"/>
        </w:rPr>
        <w:t>robust</w:t>
      </w:r>
      <w:r w:rsidR="00AA728A">
        <w:rPr>
          <w:rFonts w:ascii="Times New Roman" w:hAnsi="Times New Roman" w:cs="Times New Roman"/>
          <w:lang w:eastAsia="zh-CN"/>
        </w:rPr>
        <w:t xml:space="preserve"> democratic institutions</w:t>
      </w:r>
      <w:r w:rsidR="00FC5F0F">
        <w:rPr>
          <w:rFonts w:ascii="Times New Roman" w:hAnsi="Times New Roman" w:cs="Times New Roman"/>
          <w:lang w:eastAsia="zh-CN"/>
        </w:rPr>
        <w:t xml:space="preserve"> and to reform their ailing economies</w:t>
      </w:r>
      <w:r w:rsidR="00890B5D">
        <w:rPr>
          <w:rStyle w:val="FootnoteReference"/>
          <w:rFonts w:ascii="Times New Roman" w:hAnsi="Times New Roman" w:cs="Times New Roman"/>
          <w:lang w:eastAsia="zh-CN"/>
        </w:rPr>
        <w:footnoteReference w:id="6"/>
      </w:r>
      <w:r w:rsidR="00FC5F0F">
        <w:rPr>
          <w:rFonts w:ascii="Times New Roman" w:hAnsi="Times New Roman" w:cs="Times New Roman"/>
          <w:lang w:eastAsia="zh-CN"/>
        </w:rPr>
        <w:t>.</w:t>
      </w:r>
      <w:r w:rsidR="006069D7">
        <w:rPr>
          <w:rFonts w:ascii="Times New Roman" w:hAnsi="Times New Roman" w:cs="Times New Roman"/>
          <w:lang w:eastAsia="zh-CN"/>
        </w:rPr>
        <w:t xml:space="preserve"> Pundits and academics alike have lauded legislation such as the General Data Protection Regulation (GDPR) for establishing frameworks and in-depth discussions around the proper protection of citizen’s online data</w:t>
      </w:r>
      <w:r w:rsidR="006069D7">
        <w:rPr>
          <w:rStyle w:val="FootnoteReference"/>
          <w:rFonts w:ascii="Times New Roman" w:hAnsi="Times New Roman" w:cs="Times New Roman"/>
          <w:lang w:eastAsia="zh-CN"/>
        </w:rPr>
        <w:footnoteReference w:id="7"/>
      </w:r>
      <w:r w:rsidR="006069D7">
        <w:rPr>
          <w:rFonts w:ascii="Times New Roman" w:hAnsi="Times New Roman" w:cs="Times New Roman"/>
          <w:lang w:eastAsia="zh-CN"/>
        </w:rPr>
        <w:t>, as countries around the world have since passed similar laws.</w:t>
      </w:r>
    </w:p>
    <w:p w14:paraId="4AE7C664" w14:textId="19996364" w:rsidR="008168F0" w:rsidRDefault="005A6BD3" w:rsidP="00326F95">
      <w:pPr>
        <w:spacing w:line="480" w:lineRule="auto"/>
        <w:ind w:firstLine="360"/>
        <w:rPr>
          <w:rFonts w:ascii="Times New Roman" w:hAnsi="Times New Roman" w:cs="Times New Roman"/>
        </w:rPr>
      </w:pPr>
      <w:r>
        <w:rPr>
          <w:rFonts w:ascii="Times New Roman" w:hAnsi="Times New Roman" w:cs="Times New Roman"/>
          <w:lang w:eastAsia="zh-CN"/>
        </w:rPr>
        <w:t>On the other hand, there has been substantial interrogation and debate around a perceived lack of democracy in the EU.</w:t>
      </w:r>
      <w:r w:rsidR="00B434DE">
        <w:rPr>
          <w:rFonts w:ascii="Times New Roman" w:hAnsi="Times New Roman" w:cs="Times New Roman"/>
          <w:lang w:eastAsia="zh-CN"/>
        </w:rPr>
        <w:t xml:space="preserve"> Politicians and the media alike </w:t>
      </w:r>
      <w:r w:rsidR="00FD36E6">
        <w:rPr>
          <w:rFonts w:ascii="Times New Roman" w:hAnsi="Times New Roman" w:cs="Times New Roman"/>
          <w:lang w:eastAsia="zh-CN"/>
        </w:rPr>
        <w:t xml:space="preserve">were bewildered when the 2005 Treaty of Rome, which intended on establishing an EU wide constitution, was rejected by voters in France and in the Netherlands, only to be replaced and ratified by the 2007 Treaty of Lisbon, </w:t>
      </w:r>
      <w:r w:rsidR="00FD36E6">
        <w:rPr>
          <w:rFonts w:ascii="Times New Roman" w:hAnsi="Times New Roman" w:cs="Times New Roman"/>
          <w:lang w:eastAsia="zh-CN"/>
        </w:rPr>
        <w:lastRenderedPageBreak/>
        <w:t>this time by national parliamentarians, fully bypassing national electorates</w:t>
      </w:r>
      <w:r w:rsidR="00AA2C6A">
        <w:rPr>
          <w:rStyle w:val="FootnoteReference"/>
          <w:rFonts w:ascii="Times New Roman" w:hAnsi="Times New Roman" w:cs="Times New Roman"/>
          <w:lang w:eastAsia="zh-CN"/>
        </w:rPr>
        <w:footnoteReference w:id="8"/>
      </w:r>
      <w:r w:rsidR="00FD36E6">
        <w:rPr>
          <w:rFonts w:ascii="Times New Roman" w:hAnsi="Times New Roman" w:cs="Times New Roman"/>
          <w:lang w:eastAsia="zh-CN"/>
        </w:rPr>
        <w:t>.</w:t>
      </w:r>
      <w:r w:rsidR="005617FA">
        <w:rPr>
          <w:rFonts w:ascii="Times New Roman" w:hAnsi="Times New Roman" w:cs="Times New Roman"/>
          <w:lang w:eastAsia="zh-CN"/>
        </w:rPr>
        <w:t xml:space="preserve"> </w:t>
      </w:r>
      <w:r w:rsidR="00E9357E">
        <w:rPr>
          <w:rFonts w:ascii="Times New Roman" w:hAnsi="Times New Roman" w:cs="Times New Roman"/>
          <w:lang w:eastAsia="zh-CN"/>
        </w:rPr>
        <w:t xml:space="preserve">Ironically, opponents of European integration have been a major force in the EP, especially in the last two decades. They argue that the EU lacks democratic legitimacy, and that the power balance between the EU and national governments is a zero-sum game, favoring the latter. These ideas were taken to their paroxysm in 2016 as </w:t>
      </w:r>
      <w:r w:rsidR="00E9357E">
        <w:rPr>
          <w:rFonts w:ascii="Times New Roman" w:hAnsi="Times New Roman" w:cs="Times New Roman"/>
        </w:rPr>
        <w:t>p</w:t>
      </w:r>
      <w:r w:rsidR="005617FA">
        <w:rPr>
          <w:rFonts w:ascii="Times New Roman" w:hAnsi="Times New Roman" w:cs="Times New Roman"/>
        </w:rPr>
        <w:t>oliticians and voters in favor of Brexit, the divorce between Great Britain and the EU, heavily relied on the</w:t>
      </w:r>
      <w:r w:rsidR="00E9357E">
        <w:rPr>
          <w:rFonts w:ascii="Times New Roman" w:hAnsi="Times New Roman" w:cs="Times New Roman"/>
        </w:rPr>
        <w:t>m t</w:t>
      </w:r>
      <w:r w:rsidR="005617FA">
        <w:rPr>
          <w:rFonts w:ascii="Times New Roman" w:hAnsi="Times New Roman" w:cs="Times New Roman"/>
        </w:rPr>
        <w:t>o gain legitimacy and ultimately win the vote</w:t>
      </w:r>
      <w:r w:rsidR="00732987">
        <w:rPr>
          <w:rFonts w:ascii="Times New Roman" w:hAnsi="Times New Roman" w:cs="Times New Roman"/>
        </w:rPr>
        <w:t>.</w:t>
      </w:r>
      <w:r w:rsidR="005617FA">
        <w:rPr>
          <w:rStyle w:val="FootnoteReference"/>
          <w:rFonts w:ascii="Times New Roman" w:hAnsi="Times New Roman" w:cs="Times New Roman"/>
        </w:rPr>
        <w:footnoteReference w:id="9"/>
      </w:r>
      <w:r w:rsidR="00E9357E">
        <w:rPr>
          <w:rFonts w:ascii="Times New Roman" w:hAnsi="Times New Roman" w:cs="Times New Roman"/>
        </w:rPr>
        <w:t xml:space="preserve"> </w:t>
      </w:r>
      <w:r w:rsidR="008168F0">
        <w:rPr>
          <w:rFonts w:ascii="Times New Roman" w:hAnsi="Times New Roman" w:cs="Times New Roman"/>
        </w:rPr>
        <w:t>As of</w:t>
      </w:r>
      <w:r w:rsidR="00E9357E">
        <w:rPr>
          <w:rFonts w:ascii="Times New Roman" w:hAnsi="Times New Roman" w:cs="Times New Roman"/>
        </w:rPr>
        <w:t xml:space="preserve"> 2019, over 25% of the MEPs</w:t>
      </w:r>
      <w:r w:rsidR="008168F0">
        <w:rPr>
          <w:rFonts w:ascii="Times New Roman" w:hAnsi="Times New Roman" w:cs="Times New Roman"/>
        </w:rPr>
        <w:t xml:space="preserve"> in the EP’s 9</w:t>
      </w:r>
      <w:r w:rsidR="008168F0" w:rsidRPr="008168F0">
        <w:rPr>
          <w:rFonts w:ascii="Times New Roman" w:hAnsi="Times New Roman" w:cs="Times New Roman"/>
          <w:vertAlign w:val="superscript"/>
        </w:rPr>
        <w:t>th</w:t>
      </w:r>
      <w:r w:rsidR="008168F0">
        <w:rPr>
          <w:rFonts w:ascii="Times New Roman" w:hAnsi="Times New Roman" w:cs="Times New Roman"/>
        </w:rPr>
        <w:t xml:space="preserve"> Term are Euro-skeptics.</w:t>
      </w:r>
      <w:r w:rsidR="00E9357E">
        <w:rPr>
          <w:rFonts w:ascii="Times New Roman" w:hAnsi="Times New Roman" w:cs="Times New Roman"/>
        </w:rPr>
        <w:t xml:space="preserve"> </w:t>
      </w:r>
    </w:p>
    <w:p w14:paraId="2C86A5E8" w14:textId="77777777" w:rsidR="005C26EA" w:rsidRDefault="005C26EA" w:rsidP="00326F95">
      <w:pPr>
        <w:spacing w:line="480" w:lineRule="auto"/>
        <w:ind w:firstLine="360"/>
        <w:rPr>
          <w:rFonts w:ascii="Times New Roman" w:hAnsi="Times New Roman" w:cs="Times New Roman"/>
          <w:lang w:eastAsia="zh-CN"/>
        </w:rPr>
      </w:pPr>
    </w:p>
    <w:p w14:paraId="075C8C91" w14:textId="77777777" w:rsidR="00CE0492" w:rsidRDefault="008168F0" w:rsidP="00326F95">
      <w:pPr>
        <w:spacing w:line="480" w:lineRule="auto"/>
        <w:ind w:firstLine="360"/>
        <w:rPr>
          <w:rFonts w:ascii="Times New Roman" w:hAnsi="Times New Roman" w:cs="Times New Roman"/>
          <w:highlight w:val="yellow"/>
          <w:lang w:eastAsia="zh-CN"/>
        </w:rPr>
      </w:pPr>
      <w:r>
        <w:rPr>
          <w:rFonts w:ascii="Times New Roman" w:hAnsi="Times New Roman" w:cs="Times New Roman"/>
          <w:lang w:eastAsia="zh-CN"/>
        </w:rPr>
        <w:t xml:space="preserve">The debate around the democratic deficit has not spared academia either. </w:t>
      </w:r>
      <w:r w:rsidR="00B10E57">
        <w:rPr>
          <w:rFonts w:ascii="Times New Roman" w:hAnsi="Times New Roman" w:cs="Times New Roman"/>
          <w:lang w:eastAsia="zh-CN"/>
        </w:rPr>
        <w:t>Katz notes that a common criticism lies in the fact that none of the EU’s institution – aside from the EP – are democratically elected, and are as such accountable. In fact, the EP itself in inadequate in holding the EC accountable as well, although it is one of its principal missions</w:t>
      </w:r>
      <w:r w:rsidR="00AD2869">
        <w:rPr>
          <w:rFonts w:ascii="Times New Roman" w:hAnsi="Times New Roman" w:cs="Times New Roman"/>
          <w:lang w:eastAsia="zh-CN"/>
        </w:rPr>
        <w:t xml:space="preserve">. </w:t>
      </w:r>
      <w:r w:rsidR="009F7367">
        <w:rPr>
          <w:rFonts w:ascii="Times New Roman" w:hAnsi="Times New Roman" w:cs="Times New Roman"/>
          <w:lang w:eastAsia="zh-CN"/>
        </w:rPr>
        <w:t xml:space="preserve">A major issue Katz points out is that there are several different conceptions of what democratic representation actually means within the EU member-states: obviously enough, it is nearly impossible to achieve proper representation without an agreement on what democratic representation actually </w:t>
      </w:r>
      <w:r w:rsidR="009F7367" w:rsidRPr="00CE0492">
        <w:rPr>
          <w:rFonts w:ascii="Times New Roman" w:hAnsi="Times New Roman" w:cs="Times New Roman"/>
          <w:lang w:eastAsia="zh-CN"/>
        </w:rPr>
        <w:t>entails</w:t>
      </w:r>
      <w:r w:rsidR="00B10E57" w:rsidRPr="00CE0492">
        <w:rPr>
          <w:rStyle w:val="FootnoteReference"/>
          <w:rFonts w:ascii="Times New Roman" w:hAnsi="Times New Roman" w:cs="Times New Roman"/>
          <w:lang w:eastAsia="zh-CN"/>
        </w:rPr>
        <w:footnoteReference w:id="10"/>
      </w:r>
      <w:r w:rsidR="00B10E57" w:rsidRPr="00CE0492">
        <w:rPr>
          <w:rFonts w:ascii="Times New Roman" w:hAnsi="Times New Roman" w:cs="Times New Roman"/>
          <w:lang w:eastAsia="zh-CN"/>
        </w:rPr>
        <w:t>.</w:t>
      </w:r>
      <w:r w:rsidR="005C26EA" w:rsidRPr="00CE0492">
        <w:rPr>
          <w:rFonts w:ascii="Times New Roman" w:hAnsi="Times New Roman" w:cs="Times New Roman"/>
          <w:lang w:eastAsia="zh-CN"/>
        </w:rPr>
        <w:t xml:space="preserve"> </w:t>
      </w:r>
    </w:p>
    <w:p w14:paraId="52AC449F" w14:textId="4522E5DE" w:rsidR="005C26EA" w:rsidRDefault="00647A21" w:rsidP="00326F95">
      <w:pPr>
        <w:spacing w:line="480" w:lineRule="auto"/>
        <w:ind w:firstLine="360"/>
        <w:rPr>
          <w:rFonts w:ascii="Times New Roman" w:hAnsi="Times New Roman" w:cs="Times New Roman"/>
          <w:lang w:eastAsia="zh-CN"/>
        </w:rPr>
      </w:pPr>
      <w:r>
        <w:rPr>
          <w:rFonts w:ascii="Times New Roman" w:hAnsi="Times New Roman" w:cs="Times New Roman"/>
          <w:lang w:eastAsia="zh-CN"/>
        </w:rPr>
        <w:t xml:space="preserve">Hix and </w:t>
      </w:r>
      <w:proofErr w:type="spellStart"/>
      <w:r>
        <w:rPr>
          <w:rFonts w:ascii="Times New Roman" w:hAnsi="Times New Roman" w:cs="Times New Roman"/>
          <w:lang w:eastAsia="zh-CN"/>
        </w:rPr>
        <w:t>Follesdal</w:t>
      </w:r>
      <w:proofErr w:type="spellEnd"/>
      <w:r w:rsidR="00F71EC8">
        <w:rPr>
          <w:rFonts w:ascii="Times New Roman" w:hAnsi="Times New Roman" w:cs="Times New Roman"/>
          <w:lang w:eastAsia="zh-CN"/>
        </w:rPr>
        <w:t xml:space="preserve">, in response to </w:t>
      </w:r>
      <w:proofErr w:type="spellStart"/>
      <w:r w:rsidR="00F71EC8">
        <w:rPr>
          <w:rFonts w:ascii="Times New Roman" w:hAnsi="Times New Roman" w:cs="Times New Roman"/>
          <w:lang w:eastAsia="zh-CN"/>
        </w:rPr>
        <w:t>Marjone</w:t>
      </w:r>
      <w:proofErr w:type="spellEnd"/>
      <w:r w:rsidR="00F71EC8">
        <w:rPr>
          <w:rFonts w:ascii="Times New Roman" w:hAnsi="Times New Roman" w:cs="Times New Roman"/>
          <w:lang w:eastAsia="zh-CN"/>
        </w:rPr>
        <w:t xml:space="preserve"> and </w:t>
      </w:r>
      <w:proofErr w:type="spellStart"/>
      <w:r w:rsidR="00F71EC8">
        <w:rPr>
          <w:rFonts w:ascii="Times New Roman" w:hAnsi="Times New Roman" w:cs="Times New Roman"/>
          <w:lang w:eastAsia="zh-CN"/>
        </w:rPr>
        <w:t>Moravcsik</w:t>
      </w:r>
      <w:proofErr w:type="spellEnd"/>
      <w:r w:rsidR="00F71EC8">
        <w:rPr>
          <w:rFonts w:ascii="Times New Roman" w:hAnsi="Times New Roman" w:cs="Times New Roman"/>
          <w:lang w:eastAsia="zh-CN"/>
        </w:rPr>
        <w:t xml:space="preserve"> (who have argued that there is no democratic deficit in the EU)</w:t>
      </w:r>
      <w:r>
        <w:rPr>
          <w:rFonts w:ascii="Times New Roman" w:hAnsi="Times New Roman" w:cs="Times New Roman"/>
          <w:lang w:eastAsia="zh-CN"/>
        </w:rPr>
        <w:t xml:space="preserve"> reiterate that </w:t>
      </w:r>
      <w:r w:rsidR="00F71EC8">
        <w:rPr>
          <w:rFonts w:ascii="Times New Roman" w:hAnsi="Times New Roman" w:cs="Times New Roman"/>
          <w:lang w:eastAsia="zh-CN"/>
        </w:rPr>
        <w:t>while there</w:t>
      </w:r>
      <w:r>
        <w:rPr>
          <w:rFonts w:ascii="Times New Roman" w:hAnsi="Times New Roman" w:cs="Times New Roman"/>
          <w:lang w:eastAsia="zh-CN"/>
        </w:rPr>
        <w:t xml:space="preserve"> is no single definition of what constitutes </w:t>
      </w:r>
      <w:r>
        <w:rPr>
          <w:rFonts w:ascii="Times New Roman" w:hAnsi="Times New Roman" w:cs="Times New Roman"/>
          <w:lang w:eastAsia="zh-CN"/>
        </w:rPr>
        <w:lastRenderedPageBreak/>
        <w:t>the democratic deficit</w:t>
      </w:r>
      <w:r w:rsidR="0088066E">
        <w:rPr>
          <w:rFonts w:ascii="Times New Roman" w:hAnsi="Times New Roman" w:cs="Times New Roman"/>
          <w:lang w:eastAsia="zh-CN"/>
        </w:rPr>
        <w:t>, five main claims stand out</w:t>
      </w:r>
      <w:r w:rsidR="00326F95">
        <w:rPr>
          <w:rFonts w:ascii="Times New Roman" w:hAnsi="Times New Roman" w:cs="Times New Roman"/>
          <w:lang w:eastAsia="zh-CN"/>
        </w:rPr>
        <w:t>.</w:t>
      </w:r>
      <w:r w:rsidR="00326F95">
        <w:rPr>
          <w:rStyle w:val="FootnoteReference"/>
          <w:rFonts w:ascii="Times New Roman" w:hAnsi="Times New Roman" w:cs="Times New Roman"/>
        </w:rPr>
        <w:footnoteReference w:id="11"/>
      </w:r>
      <w:r w:rsidR="00A76C7F">
        <w:rPr>
          <w:rFonts w:ascii="Times New Roman" w:hAnsi="Times New Roman" w:cs="Times New Roman"/>
          <w:lang w:eastAsia="zh-CN"/>
        </w:rPr>
        <w:t xml:space="preserve"> </w:t>
      </w:r>
      <w:r w:rsidR="00CF4CA4">
        <w:rPr>
          <w:rFonts w:ascii="Times New Roman" w:hAnsi="Times New Roman" w:cs="Times New Roman"/>
          <w:lang w:eastAsia="zh-CN"/>
        </w:rPr>
        <w:t>The first two claims revolve around the EP’s relative weakness: its inability to</w:t>
      </w:r>
      <w:r w:rsidR="00A76C7F">
        <w:rPr>
          <w:rFonts w:ascii="Times New Roman" w:hAnsi="Times New Roman" w:cs="Times New Roman"/>
          <w:lang w:eastAsia="zh-CN"/>
        </w:rPr>
        <w:t xml:space="preserve"> hold the executive branch of the EU accountable, implying a shift in power away from </w:t>
      </w:r>
      <w:r w:rsidR="004028A4">
        <w:rPr>
          <w:rFonts w:ascii="Times New Roman" w:hAnsi="Times New Roman" w:cs="Times New Roman"/>
          <w:lang w:eastAsia="zh-CN"/>
        </w:rPr>
        <w:t>the legislative branch towards executive branches</w:t>
      </w:r>
      <w:r w:rsidR="00CF4CA4">
        <w:rPr>
          <w:rFonts w:ascii="Times New Roman" w:hAnsi="Times New Roman" w:cs="Times New Roman"/>
          <w:lang w:eastAsia="zh-CN"/>
        </w:rPr>
        <w:t xml:space="preserve"> of government.</w:t>
      </w:r>
      <w:r w:rsidR="007B3833">
        <w:rPr>
          <w:rFonts w:ascii="Times New Roman" w:hAnsi="Times New Roman" w:cs="Times New Roman"/>
          <w:lang w:eastAsia="zh-CN"/>
        </w:rPr>
        <w:t xml:space="preserve"> Another claim is that the psychological “distance” between voters and the EU is too high, and the EU’s structure is too byzantine</w:t>
      </w:r>
      <w:r w:rsidR="00B142CC">
        <w:rPr>
          <w:rStyle w:val="FootnoteReference"/>
          <w:rFonts w:ascii="Times New Roman" w:hAnsi="Times New Roman" w:cs="Times New Roman"/>
          <w:lang w:eastAsia="zh-CN"/>
        </w:rPr>
        <w:footnoteReference w:customMarkFollows="1" w:id="12"/>
        <w:t>*</w:t>
      </w:r>
      <w:r w:rsidR="007B3833">
        <w:rPr>
          <w:rFonts w:ascii="Times New Roman" w:hAnsi="Times New Roman" w:cs="Times New Roman"/>
          <w:lang w:eastAsia="zh-CN"/>
        </w:rPr>
        <w:t xml:space="preserve"> for voters to properly understand why or what they’re voting for when they elect MEPs.</w:t>
      </w:r>
      <w:r w:rsidR="00CF4CA4">
        <w:rPr>
          <w:rFonts w:ascii="Times New Roman" w:hAnsi="Times New Roman" w:cs="Times New Roman"/>
          <w:lang w:eastAsia="zh-CN"/>
        </w:rPr>
        <w:t xml:space="preserve"> </w:t>
      </w:r>
    </w:p>
    <w:p w14:paraId="66D95687" w14:textId="7B09C072" w:rsidR="00CE0492" w:rsidRDefault="00CE0492" w:rsidP="00326F95">
      <w:pPr>
        <w:spacing w:line="480" w:lineRule="auto"/>
        <w:ind w:firstLine="360"/>
        <w:rPr>
          <w:rFonts w:ascii="Times New Roman" w:hAnsi="Times New Roman" w:cs="Times New Roman"/>
          <w:lang w:eastAsia="zh-CN"/>
        </w:rPr>
      </w:pPr>
      <w:r w:rsidRPr="00CE0492">
        <w:rPr>
          <w:rFonts w:ascii="Times New Roman" w:hAnsi="Times New Roman" w:cs="Times New Roman"/>
          <w:lang w:eastAsia="zh-CN"/>
        </w:rPr>
        <w:t xml:space="preserve">On the other hand, </w:t>
      </w:r>
      <w:r w:rsidRPr="00CE0492">
        <w:rPr>
          <w:rFonts w:ascii="Times New Roman" w:hAnsi="Times New Roman" w:cs="Times New Roman"/>
        </w:rPr>
        <w:t>Bolt finds that satisfaction with democracy in the EU is actually quite high</w:t>
      </w:r>
      <w:r>
        <w:rPr>
          <w:rFonts w:ascii="Times New Roman" w:hAnsi="Times New Roman" w:cs="Times New Roman"/>
        </w:rPr>
        <w:t>, and is positively correlated with a respondent’s knowledge of the EU</w:t>
      </w:r>
      <w:r w:rsidR="00532368">
        <w:rPr>
          <w:rFonts w:ascii="Times New Roman" w:hAnsi="Times New Roman" w:cs="Times New Roman"/>
        </w:rPr>
        <w:t>.</w:t>
      </w:r>
      <w:r>
        <w:rPr>
          <w:rStyle w:val="FootnoteReference"/>
          <w:rFonts w:ascii="Times New Roman" w:hAnsi="Times New Roman" w:cs="Times New Roman"/>
        </w:rPr>
        <w:footnoteReference w:id="13"/>
      </w:r>
      <w:r w:rsidR="00532368">
        <w:rPr>
          <w:rFonts w:ascii="Times New Roman" w:hAnsi="Times New Roman" w:cs="Times New Roman"/>
        </w:rPr>
        <w:t xml:space="preserve"> However, this </w:t>
      </w:r>
      <w:r w:rsidR="0033338C">
        <w:rPr>
          <w:rFonts w:ascii="Times New Roman" w:hAnsi="Times New Roman" w:cs="Times New Roman"/>
        </w:rPr>
        <w:t xml:space="preserve">only </w:t>
      </w:r>
      <w:r w:rsidR="00532368">
        <w:rPr>
          <w:rFonts w:ascii="Times New Roman" w:hAnsi="Times New Roman" w:cs="Times New Roman"/>
        </w:rPr>
        <w:t xml:space="preserve">reinforces the previous claim that </w:t>
      </w:r>
      <w:r w:rsidR="0033338C">
        <w:rPr>
          <w:rFonts w:ascii="Times New Roman" w:hAnsi="Times New Roman" w:cs="Times New Roman"/>
        </w:rPr>
        <w:t xml:space="preserve">appreciation for the democratic institutions of the EU </w:t>
      </w:r>
      <w:proofErr w:type="gramStart"/>
      <w:r w:rsidR="0033338C">
        <w:rPr>
          <w:rFonts w:ascii="Times New Roman" w:hAnsi="Times New Roman" w:cs="Times New Roman"/>
        </w:rPr>
        <w:t>are</w:t>
      </w:r>
      <w:proofErr w:type="gramEnd"/>
      <w:r w:rsidR="0033338C">
        <w:rPr>
          <w:rFonts w:ascii="Times New Roman" w:hAnsi="Times New Roman" w:cs="Times New Roman"/>
        </w:rPr>
        <w:t xml:space="preserve"> intimately tied to it’s the understanding of its functions and structure – something that is anything but a given.</w:t>
      </w:r>
    </w:p>
    <w:p w14:paraId="5155C6D6" w14:textId="26925D4E" w:rsidR="00C3400D" w:rsidRPr="00507E90" w:rsidRDefault="00CF4CA4" w:rsidP="00507E90">
      <w:pPr>
        <w:spacing w:line="480" w:lineRule="auto"/>
        <w:ind w:firstLine="360"/>
        <w:rPr>
          <w:rFonts w:ascii="Times New Roman" w:hAnsi="Times New Roman" w:cs="Times New Roman"/>
          <w:lang w:eastAsia="zh-CN"/>
        </w:rPr>
      </w:pPr>
      <w:r>
        <w:rPr>
          <w:rFonts w:ascii="Times New Roman" w:hAnsi="Times New Roman" w:cs="Times New Roman"/>
          <w:lang w:eastAsia="zh-CN"/>
        </w:rPr>
        <w:t xml:space="preserve">Discussions about the </w:t>
      </w:r>
      <w:r w:rsidR="007B3833">
        <w:rPr>
          <w:rFonts w:ascii="Times New Roman" w:hAnsi="Times New Roman" w:cs="Times New Roman"/>
          <w:lang w:eastAsia="zh-CN"/>
        </w:rPr>
        <w:t xml:space="preserve">institutional balance of power in the EU or its psychological perception is beyond the scope of this paper, but the </w:t>
      </w:r>
      <w:r w:rsidR="00446741">
        <w:rPr>
          <w:rFonts w:ascii="Times New Roman" w:hAnsi="Times New Roman" w:cs="Times New Roman"/>
          <w:lang w:eastAsia="zh-CN"/>
        </w:rPr>
        <w:t>other sets of</w:t>
      </w:r>
      <w:r w:rsidR="007B3833">
        <w:rPr>
          <w:rFonts w:ascii="Times New Roman" w:hAnsi="Times New Roman" w:cs="Times New Roman"/>
          <w:lang w:eastAsia="zh-CN"/>
        </w:rPr>
        <w:t xml:space="preserve"> arguments are compelling. First, the authors lay out the claim European elections have in reality very little to do with Europe.</w:t>
      </w:r>
      <w:r w:rsidR="00B530AB">
        <w:rPr>
          <w:rFonts w:ascii="Times New Roman" w:hAnsi="Times New Roman" w:cs="Times New Roman"/>
          <w:lang w:eastAsia="zh-CN"/>
        </w:rPr>
        <w:t xml:space="preserve"> Not only </w:t>
      </w:r>
      <w:r w:rsidR="006E7426">
        <w:rPr>
          <w:rFonts w:ascii="Times New Roman" w:hAnsi="Times New Roman" w:cs="Times New Roman"/>
          <w:lang w:eastAsia="zh-CN"/>
        </w:rPr>
        <w:t>do</w:t>
      </w:r>
      <w:r w:rsidR="00B530AB">
        <w:rPr>
          <w:rFonts w:ascii="Times New Roman" w:hAnsi="Times New Roman" w:cs="Times New Roman"/>
          <w:lang w:eastAsia="zh-CN"/>
        </w:rPr>
        <w:t xml:space="preserve"> the policy proposals put forward by European parties</w:t>
      </w:r>
      <w:r w:rsidR="006E7426">
        <w:rPr>
          <w:rFonts w:ascii="Times New Roman" w:hAnsi="Times New Roman" w:cs="Times New Roman"/>
          <w:lang w:eastAsia="zh-CN"/>
        </w:rPr>
        <w:t xml:space="preserve"> typically have very little to do with the EU itself</w:t>
      </w:r>
      <w:r w:rsidR="00F72950">
        <w:rPr>
          <w:rFonts w:ascii="Times New Roman" w:hAnsi="Times New Roman" w:cs="Times New Roman"/>
          <w:lang w:eastAsia="zh-CN"/>
        </w:rPr>
        <w:t>, the elections themselves are fought on domestic issues and act as a mechanism to punish incumbent parties if they disappoint their electorates.</w:t>
      </w:r>
      <w:r w:rsidR="006E7426">
        <w:rPr>
          <w:rStyle w:val="FootnoteReference"/>
          <w:rFonts w:ascii="Times New Roman" w:hAnsi="Times New Roman" w:cs="Times New Roman"/>
          <w:lang w:eastAsia="zh-CN"/>
        </w:rPr>
        <w:footnoteReference w:id="14"/>
      </w:r>
      <w:r w:rsidR="00C3400D">
        <w:rPr>
          <w:rFonts w:ascii="Times New Roman" w:hAnsi="Times New Roman" w:cs="Times New Roman"/>
          <w:lang w:eastAsia="zh-CN"/>
        </w:rPr>
        <w:t xml:space="preserve"> Second, the authors contend that European integration has produced a “policy drift”</w:t>
      </w:r>
      <w:r w:rsidR="00497D33">
        <w:rPr>
          <w:rFonts w:ascii="Times New Roman" w:hAnsi="Times New Roman" w:cs="Times New Roman"/>
          <w:lang w:eastAsia="zh-CN"/>
        </w:rPr>
        <w:t xml:space="preserve"> which has pushed policies away </w:t>
      </w:r>
      <w:r w:rsidR="00497D33">
        <w:rPr>
          <w:rFonts w:ascii="Times New Roman" w:hAnsi="Times New Roman" w:cs="Times New Roman"/>
          <w:lang w:eastAsia="zh-CN"/>
        </w:rPr>
        <w:lastRenderedPageBreak/>
        <w:t xml:space="preserve">from voters’ ideal </w:t>
      </w:r>
      <w:r w:rsidR="00497D33" w:rsidRPr="00507E90">
        <w:rPr>
          <w:rFonts w:ascii="Times New Roman" w:hAnsi="Times New Roman" w:cs="Times New Roman"/>
          <w:lang w:eastAsia="zh-CN"/>
        </w:rPr>
        <w:t>preferences</w:t>
      </w:r>
      <w:r w:rsidR="00C3400D" w:rsidRPr="00507E90">
        <w:rPr>
          <w:rFonts w:ascii="Times New Roman" w:hAnsi="Times New Roman" w:cs="Times New Roman"/>
          <w:lang w:eastAsia="zh-CN"/>
        </w:rPr>
        <w:t xml:space="preserve">: </w:t>
      </w:r>
      <w:r w:rsidR="00C3400D" w:rsidRPr="00507E90">
        <w:rPr>
          <w:rFonts w:ascii="Times New Roman" w:hAnsi="Times New Roman" w:cs="Times New Roman"/>
        </w:rPr>
        <w:t>“</w:t>
      </w:r>
      <w:r w:rsidR="007C241E" w:rsidRPr="00507E90">
        <w:rPr>
          <w:rFonts w:ascii="Times New Roman" w:hAnsi="Times New Roman" w:cs="Times New Roman"/>
        </w:rPr>
        <w:t>T</w:t>
      </w:r>
      <w:r w:rsidR="00C3400D" w:rsidRPr="00507E90">
        <w:rPr>
          <w:rFonts w:ascii="Times New Roman" w:hAnsi="Times New Roman" w:cs="Times New Roman"/>
        </w:rPr>
        <w:t>he EU adopts policies that are not supported by a majority of citizens in many or even most Member States. Governments are able to undertake policies at the European level that they cannot pursue at the domestic level, where they are constrained by parliaments, courts and corporatist interest group structures</w:t>
      </w:r>
      <w:r w:rsidR="00A905C4" w:rsidRPr="00507E90">
        <w:rPr>
          <w:rFonts w:ascii="Times New Roman" w:hAnsi="Times New Roman" w:cs="Times New Roman"/>
        </w:rPr>
        <w:t xml:space="preserve">. […] Concentrated interests such as business interests and multinational firms have a greater incentive to organize at the European level than diffuse interests, such as consumer groups or trade unions […] skewing EU policy outcomes more towards the interests of the owners of capital than is the case for policy compromises at the domestic level in Europe. </w:t>
      </w:r>
      <w:r w:rsidR="00C3400D" w:rsidRPr="00507E90">
        <w:rPr>
          <w:rFonts w:ascii="Times New Roman" w:hAnsi="Times New Roman" w:cs="Times New Roman"/>
        </w:rPr>
        <w:t>“</w:t>
      </w:r>
      <w:r w:rsidR="002E61EE" w:rsidRPr="00507E90">
        <w:rPr>
          <w:rStyle w:val="FootnoteReference"/>
          <w:rFonts w:ascii="Times New Roman" w:hAnsi="Times New Roman" w:cs="Times New Roman"/>
        </w:rPr>
        <w:footnoteReference w:id="15"/>
      </w:r>
    </w:p>
    <w:p w14:paraId="44A7FEC4" w14:textId="77777777" w:rsidR="00FA24CE" w:rsidRDefault="00497D33" w:rsidP="00C90F65">
      <w:pPr>
        <w:spacing w:line="480" w:lineRule="auto"/>
        <w:rPr>
          <w:rFonts w:ascii="Times New Roman" w:hAnsi="Times New Roman" w:cs="Times New Roman"/>
        </w:rPr>
      </w:pPr>
      <w:r w:rsidRPr="00C90F65">
        <w:rPr>
          <w:rFonts w:ascii="Times New Roman" w:hAnsi="Times New Roman" w:cs="Times New Roman"/>
        </w:rPr>
        <w:tab/>
      </w:r>
    </w:p>
    <w:p w14:paraId="49F73D3B" w14:textId="22D4C5B4" w:rsidR="00C90F65" w:rsidRDefault="00221054" w:rsidP="00FA24CE">
      <w:pPr>
        <w:spacing w:line="480" w:lineRule="auto"/>
        <w:ind w:firstLine="360"/>
        <w:rPr>
          <w:rFonts w:ascii="Times New Roman" w:hAnsi="Times New Roman" w:cs="Times New Roman"/>
        </w:rPr>
      </w:pPr>
      <w:r w:rsidRPr="00C90F65">
        <w:rPr>
          <w:rFonts w:ascii="Times New Roman" w:hAnsi="Times New Roman" w:cs="Times New Roman"/>
        </w:rPr>
        <w:t xml:space="preserve">This paper will focus on this last issue. </w:t>
      </w:r>
      <w:r w:rsidR="00593CA7" w:rsidRPr="00C90F65">
        <w:rPr>
          <w:rFonts w:ascii="Times New Roman" w:hAnsi="Times New Roman" w:cs="Times New Roman"/>
        </w:rPr>
        <w:t xml:space="preserve">Although the </w:t>
      </w:r>
      <w:r w:rsidR="00C90F65" w:rsidRPr="00C90F65">
        <w:rPr>
          <w:rFonts w:ascii="Times New Roman" w:hAnsi="Times New Roman" w:cs="Times New Roman"/>
        </w:rPr>
        <w:t>authors</w:t>
      </w:r>
      <w:r w:rsidR="00593CA7" w:rsidRPr="00C90F65">
        <w:rPr>
          <w:rFonts w:ascii="Times New Roman" w:hAnsi="Times New Roman" w:cs="Times New Roman"/>
        </w:rPr>
        <w:t xml:space="preserve"> stipulate </w:t>
      </w:r>
      <w:r w:rsidR="00C90F65" w:rsidRPr="00C90F65">
        <w:rPr>
          <w:rFonts w:ascii="Times New Roman" w:hAnsi="Times New Roman" w:cs="Times New Roman"/>
        </w:rPr>
        <w:t xml:space="preserve">that voter preferences </w:t>
      </w:r>
      <w:r w:rsidR="00C90F65">
        <w:rPr>
          <w:rFonts w:ascii="Times New Roman" w:hAnsi="Times New Roman" w:cs="Times New Roman"/>
        </w:rPr>
        <w:t>are much different that the policies that are voted on at the EP, little research has been conducted to 1) systematically analyze voter preferences in the EU and 2) correlate them with MEP voting at the EP.</w:t>
      </w:r>
      <w:r w:rsidR="00B434DE">
        <w:rPr>
          <w:rFonts w:ascii="Times New Roman" w:hAnsi="Times New Roman" w:cs="Times New Roman"/>
        </w:rPr>
        <w:t xml:space="preserve"> </w:t>
      </w:r>
      <w:r w:rsidR="0033127C">
        <w:rPr>
          <w:rFonts w:ascii="Times New Roman" w:hAnsi="Times New Roman" w:cs="Times New Roman"/>
        </w:rPr>
        <w:t>While there are a plethora of voter preferences and associated legislation to choose from, this paper will focus on the issue of environmental regulation, thanks to the abundance of surveys and EP voting over the last twenty years, as well as heightened discussion in both the media and academia, making it a particularly productive field.</w:t>
      </w:r>
    </w:p>
    <w:p w14:paraId="760E9FC1" w14:textId="2A13B5C3" w:rsidR="00852F32" w:rsidRDefault="00852F32" w:rsidP="00FA24CE">
      <w:pPr>
        <w:spacing w:line="480" w:lineRule="auto"/>
        <w:ind w:firstLine="360"/>
        <w:rPr>
          <w:rFonts w:ascii="Times New Roman" w:hAnsi="Times New Roman" w:cs="Times New Roman"/>
        </w:rPr>
      </w:pPr>
    </w:p>
    <w:p w14:paraId="5130BD0D" w14:textId="098DD520" w:rsidR="00852F32" w:rsidRDefault="00852F32" w:rsidP="00852F32">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Environmentalism in the E.U. and at the European Parliament</w:t>
      </w:r>
    </w:p>
    <w:p w14:paraId="707DFA17" w14:textId="77777777" w:rsidR="00955650" w:rsidRDefault="00955650" w:rsidP="00583B77">
      <w:pPr>
        <w:spacing w:line="480" w:lineRule="auto"/>
        <w:ind w:left="360"/>
        <w:rPr>
          <w:rFonts w:ascii="Times New Roman" w:hAnsi="Times New Roman" w:cs="Times New Roman"/>
        </w:rPr>
      </w:pPr>
      <w:r>
        <w:rPr>
          <w:rFonts w:ascii="Times New Roman" w:hAnsi="Times New Roman" w:cs="Times New Roman"/>
        </w:rPr>
        <w:t>It is difficult to think of a topic as widely discussed but controversial as environmental</w:t>
      </w:r>
    </w:p>
    <w:p w14:paraId="2135EE44" w14:textId="5E940B2F" w:rsidR="00583B77" w:rsidRPr="00955650" w:rsidRDefault="00955650" w:rsidP="00955650">
      <w:pPr>
        <w:spacing w:line="480" w:lineRule="auto"/>
        <w:ind w:left="360" w:hanging="360"/>
        <w:rPr>
          <w:rFonts w:ascii="Times New Roman" w:hAnsi="Times New Roman" w:cs="Times New Roman"/>
        </w:rPr>
      </w:pPr>
      <w:r>
        <w:rPr>
          <w:rFonts w:ascii="Times New Roman" w:hAnsi="Times New Roman" w:cs="Times New Roman"/>
        </w:rPr>
        <w:t xml:space="preserve">regulations </w:t>
      </w:r>
    </w:p>
    <w:p w14:paraId="2CE2F564" w14:textId="77777777" w:rsidR="00C90F65" w:rsidRPr="00AE6936" w:rsidRDefault="00C90F65" w:rsidP="00C90F65">
      <w:pPr>
        <w:rPr>
          <w:rFonts w:ascii="Times New Roman" w:eastAsia="Times New Roman" w:hAnsi="Times New Roman" w:cs="Times New Roman"/>
          <w:lang w:eastAsia="zh-CN"/>
        </w:rPr>
      </w:pPr>
    </w:p>
    <w:p w14:paraId="384ACDD9" w14:textId="77777777" w:rsidR="00446741" w:rsidRDefault="00446741" w:rsidP="00326F95">
      <w:pPr>
        <w:spacing w:line="480" w:lineRule="auto"/>
        <w:ind w:firstLine="360"/>
        <w:rPr>
          <w:rFonts w:ascii="Times New Roman" w:hAnsi="Times New Roman" w:cs="Times New Roman"/>
          <w:lang w:eastAsia="zh-CN"/>
        </w:rPr>
      </w:pPr>
    </w:p>
    <w:p w14:paraId="73005869" w14:textId="1B327414" w:rsidR="00326F95" w:rsidRDefault="00326F95" w:rsidP="00326F95">
      <w:pPr>
        <w:spacing w:line="480" w:lineRule="auto"/>
        <w:ind w:firstLine="360"/>
        <w:rPr>
          <w:rFonts w:ascii="Times New Roman" w:hAnsi="Times New Roman" w:cs="Times New Roman"/>
          <w:lang w:eastAsia="zh-CN"/>
        </w:rPr>
      </w:pPr>
    </w:p>
    <w:p w14:paraId="799BDDB5" w14:textId="57DBBD9C" w:rsidR="00FE7E08" w:rsidRDefault="00FE7E08" w:rsidP="00326F95">
      <w:pPr>
        <w:spacing w:line="480" w:lineRule="auto"/>
        <w:ind w:firstLine="360"/>
        <w:rPr>
          <w:rFonts w:ascii="Times New Roman" w:hAnsi="Times New Roman" w:cs="Times New Roman"/>
        </w:rPr>
      </w:pPr>
    </w:p>
    <w:p w14:paraId="2405DB59" w14:textId="0FBC985D" w:rsidR="00235BC5" w:rsidRDefault="00235BC5" w:rsidP="00326F95">
      <w:pPr>
        <w:spacing w:line="480" w:lineRule="auto"/>
        <w:ind w:firstLine="360"/>
        <w:rPr>
          <w:rFonts w:ascii="Times New Roman" w:hAnsi="Times New Roman" w:cs="Times New Roman"/>
        </w:rPr>
      </w:pPr>
    </w:p>
    <w:p w14:paraId="512DCFA5" w14:textId="6583DF0E" w:rsidR="00235BC5" w:rsidRDefault="00235BC5" w:rsidP="00326F95">
      <w:pPr>
        <w:spacing w:line="480" w:lineRule="auto"/>
        <w:ind w:firstLine="360"/>
        <w:rPr>
          <w:rFonts w:ascii="Times New Roman" w:hAnsi="Times New Roman" w:cs="Times New Roman"/>
        </w:rPr>
      </w:pPr>
    </w:p>
    <w:p w14:paraId="0F110E6E" w14:textId="1C634C7C" w:rsidR="00235BC5" w:rsidRDefault="00235BC5" w:rsidP="00326F95">
      <w:pPr>
        <w:spacing w:line="480" w:lineRule="auto"/>
        <w:ind w:firstLine="360"/>
        <w:rPr>
          <w:rFonts w:ascii="Times New Roman" w:hAnsi="Times New Roman" w:cs="Times New Roman"/>
        </w:rPr>
      </w:pPr>
    </w:p>
    <w:p w14:paraId="2879DF34" w14:textId="3F699D6A" w:rsidR="00235BC5" w:rsidRDefault="00235BC5" w:rsidP="00326F95">
      <w:pPr>
        <w:spacing w:line="480" w:lineRule="auto"/>
        <w:ind w:firstLine="360"/>
        <w:rPr>
          <w:rFonts w:ascii="Times New Roman" w:hAnsi="Times New Roman" w:cs="Times New Roman"/>
        </w:rPr>
      </w:pPr>
    </w:p>
    <w:p w14:paraId="51C8B96F" w14:textId="1C7EAD92" w:rsidR="0029109E" w:rsidRDefault="0029109E" w:rsidP="00326F95">
      <w:pPr>
        <w:spacing w:line="480" w:lineRule="auto"/>
        <w:ind w:firstLine="360"/>
        <w:rPr>
          <w:rFonts w:ascii="Times New Roman" w:hAnsi="Times New Roman" w:cs="Times New Roman"/>
        </w:rPr>
      </w:pPr>
    </w:p>
    <w:p w14:paraId="42D57023" w14:textId="113BCE1A" w:rsidR="0029109E" w:rsidRDefault="0029109E" w:rsidP="00326F95">
      <w:pPr>
        <w:spacing w:line="480" w:lineRule="auto"/>
        <w:ind w:firstLine="360"/>
        <w:rPr>
          <w:rFonts w:ascii="Times New Roman" w:hAnsi="Times New Roman" w:cs="Times New Roman"/>
        </w:rPr>
      </w:pPr>
    </w:p>
    <w:p w14:paraId="3E5E77B0" w14:textId="49227646" w:rsidR="0029109E" w:rsidRDefault="0029109E" w:rsidP="00326F95">
      <w:pPr>
        <w:spacing w:line="480" w:lineRule="auto"/>
        <w:ind w:firstLine="360"/>
        <w:rPr>
          <w:rFonts w:ascii="Times New Roman" w:hAnsi="Times New Roman" w:cs="Times New Roman"/>
        </w:rPr>
      </w:pPr>
    </w:p>
    <w:p w14:paraId="4A204561" w14:textId="53126DEF" w:rsidR="0029109E" w:rsidRDefault="0029109E" w:rsidP="00326F95">
      <w:pPr>
        <w:spacing w:line="480" w:lineRule="auto"/>
        <w:ind w:firstLine="360"/>
        <w:rPr>
          <w:rFonts w:ascii="Times New Roman" w:hAnsi="Times New Roman" w:cs="Times New Roman"/>
        </w:rPr>
      </w:pPr>
    </w:p>
    <w:p w14:paraId="05103F8C" w14:textId="77777777" w:rsidR="0029109E" w:rsidRPr="00BD0B87" w:rsidRDefault="0029109E" w:rsidP="00326F95">
      <w:pPr>
        <w:spacing w:line="480" w:lineRule="auto"/>
        <w:ind w:firstLine="360"/>
        <w:rPr>
          <w:rFonts w:ascii="Times New Roman" w:hAnsi="Times New Roman" w:cs="Times New Roman"/>
        </w:rPr>
      </w:pPr>
    </w:p>
    <w:p w14:paraId="43C0AF05" w14:textId="1126F532" w:rsidR="00C43427" w:rsidRDefault="00183060" w:rsidP="00384191">
      <w:pPr>
        <w:spacing w:line="480" w:lineRule="auto"/>
        <w:ind w:firstLine="360"/>
        <w:rPr>
          <w:rFonts w:ascii="Times New Roman" w:hAnsi="Times New Roman" w:cs="Times New Roman"/>
          <w:b/>
          <w:bCs/>
        </w:rPr>
      </w:pPr>
      <w:r>
        <w:rPr>
          <w:rFonts w:ascii="Times New Roman" w:hAnsi="Times New Roman" w:cs="Times New Roman"/>
          <w:b/>
          <w:bCs/>
        </w:rPr>
        <w:t xml:space="preserve">II. </w:t>
      </w:r>
      <w:r w:rsidR="00C43427">
        <w:rPr>
          <w:rFonts w:ascii="Times New Roman" w:hAnsi="Times New Roman" w:cs="Times New Roman"/>
          <w:b/>
          <w:bCs/>
        </w:rPr>
        <w:t>Empirical Framework</w:t>
      </w:r>
      <w:r w:rsidR="00384191">
        <w:rPr>
          <w:rFonts w:ascii="Times New Roman" w:hAnsi="Times New Roman" w:cs="Times New Roman"/>
          <w:b/>
          <w:bCs/>
        </w:rPr>
        <w:t xml:space="preserve"> and </w:t>
      </w:r>
      <w:r w:rsidR="00C43427">
        <w:rPr>
          <w:rFonts w:ascii="Times New Roman" w:hAnsi="Times New Roman" w:cs="Times New Roman"/>
          <w:b/>
          <w:bCs/>
        </w:rPr>
        <w:t>Literature Review</w:t>
      </w:r>
    </w:p>
    <w:p w14:paraId="1E992EBF" w14:textId="70A3DF6B" w:rsidR="006C2E0C" w:rsidRPr="008E369F" w:rsidRDefault="008E369F" w:rsidP="008E369F">
      <w:pPr>
        <w:pStyle w:val="ListParagraph"/>
        <w:numPr>
          <w:ilvl w:val="0"/>
          <w:numId w:val="5"/>
        </w:numPr>
        <w:spacing w:line="480" w:lineRule="auto"/>
        <w:rPr>
          <w:rFonts w:ascii="Times New Roman" w:hAnsi="Times New Roman" w:cs="Times New Roman"/>
          <w:b/>
          <w:bCs/>
        </w:rPr>
      </w:pPr>
      <w:r>
        <w:rPr>
          <w:rFonts w:ascii="Times New Roman" w:hAnsi="Times New Roman" w:cs="Times New Roman"/>
          <w:b/>
          <w:bCs/>
        </w:rPr>
        <w:t>Understanding voter preferences</w:t>
      </w:r>
    </w:p>
    <w:p w14:paraId="7A5D9180" w14:textId="77777777" w:rsidR="006C2E0C" w:rsidRDefault="006C2E0C" w:rsidP="006C2E0C">
      <w:pPr>
        <w:spacing w:line="480" w:lineRule="auto"/>
        <w:ind w:firstLine="360"/>
        <w:rPr>
          <w:rFonts w:ascii="Times New Roman" w:hAnsi="Times New Roman" w:cs="Times New Roman"/>
        </w:rPr>
      </w:pPr>
      <w:r>
        <w:rPr>
          <w:rFonts w:ascii="Times New Roman" w:hAnsi="Times New Roman" w:cs="Times New Roman"/>
        </w:rPr>
        <w:t>This paper makes use of a statistical modeling technique called Multilevel Regression and</w:t>
      </w:r>
    </w:p>
    <w:p w14:paraId="549A58C3" w14:textId="77777777" w:rsidR="001673B5" w:rsidRDefault="006C2E0C" w:rsidP="001673B5">
      <w:pPr>
        <w:spacing w:line="480" w:lineRule="auto"/>
        <w:rPr>
          <w:rFonts w:ascii="Times New Roman" w:hAnsi="Times New Roman" w:cs="Times New Roman"/>
          <w:color w:val="000000" w:themeColor="text1"/>
        </w:rPr>
      </w:pPr>
      <w:r>
        <w:rPr>
          <w:rFonts w:ascii="Times New Roman" w:hAnsi="Times New Roman" w:cs="Times New Roman"/>
        </w:rPr>
        <w:t xml:space="preserve">Postratification (MRP) to build robust estimates of </w:t>
      </w:r>
      <w:r w:rsidR="00543F64">
        <w:rPr>
          <w:rFonts w:ascii="Times New Roman" w:hAnsi="Times New Roman" w:cs="Times New Roman"/>
        </w:rPr>
        <w:t>voter preferences around survey questions regarding the environment.</w:t>
      </w:r>
      <w:r w:rsidR="005B13A2">
        <w:rPr>
          <w:rFonts w:ascii="Times New Roman" w:hAnsi="Times New Roman" w:cs="Times New Roman"/>
        </w:rPr>
        <w:t xml:space="preserve"> </w:t>
      </w:r>
      <w:r w:rsidR="00326F95" w:rsidRPr="00E06D82">
        <w:rPr>
          <w:rFonts w:ascii="Times New Roman" w:hAnsi="Times New Roman" w:cs="Times New Roman"/>
        </w:rPr>
        <w:t xml:space="preserve">Political Scientists often turn to surveys to estimate public preferences because understanding preferences is essential to understanding how a democratic system </w:t>
      </w:r>
      <w:proofErr w:type="gramStart"/>
      <w:r w:rsidR="00326F95" w:rsidRPr="00E06D82">
        <w:rPr>
          <w:rFonts w:ascii="Times New Roman" w:hAnsi="Times New Roman" w:cs="Times New Roman"/>
        </w:rPr>
        <w:t>functions</w:t>
      </w:r>
      <w:proofErr w:type="gramEnd"/>
      <w:r w:rsidR="00326F95" w:rsidRPr="00E06D82">
        <w:rPr>
          <w:rFonts w:ascii="Times New Roman" w:hAnsi="Times New Roman" w:cs="Times New Roman"/>
        </w:rPr>
        <w:t>. If elected officials act in the name of th</w:t>
      </w:r>
      <w:r w:rsidR="00326F95">
        <w:rPr>
          <w:rFonts w:ascii="Times New Roman" w:hAnsi="Times New Roman" w:cs="Times New Roman"/>
        </w:rPr>
        <w:t>eir constituents</w:t>
      </w:r>
      <w:r w:rsidR="00326F95" w:rsidRPr="00E06D82">
        <w:rPr>
          <w:rFonts w:ascii="Times New Roman" w:hAnsi="Times New Roman" w:cs="Times New Roman"/>
        </w:rPr>
        <w:t xml:space="preserve">, then they need to know </w:t>
      </w:r>
      <w:r w:rsidR="00326F95">
        <w:rPr>
          <w:rFonts w:ascii="Times New Roman" w:hAnsi="Times New Roman" w:cs="Times New Roman"/>
        </w:rPr>
        <w:t xml:space="preserve">what their constituents’ preferences are </w:t>
      </w:r>
      <w:r w:rsidR="00326F95" w:rsidRPr="00E06D82">
        <w:rPr>
          <w:rFonts w:ascii="Times New Roman" w:hAnsi="Times New Roman" w:cs="Times New Roman"/>
        </w:rPr>
        <w:t xml:space="preserve">in order to </w:t>
      </w:r>
      <w:r w:rsidR="00326F95">
        <w:rPr>
          <w:rFonts w:ascii="Times New Roman" w:hAnsi="Times New Roman" w:cs="Times New Roman"/>
        </w:rPr>
        <w:t>act accordingly</w:t>
      </w:r>
      <w:r w:rsidR="00326F95" w:rsidRPr="00E06D82">
        <w:rPr>
          <w:rFonts w:ascii="Times New Roman" w:hAnsi="Times New Roman" w:cs="Times New Roman"/>
        </w:rPr>
        <w:t xml:space="preserve">. Conversely, the public may elect politicians because those </w:t>
      </w:r>
      <w:r w:rsidR="00326F95" w:rsidRPr="00495D8F">
        <w:rPr>
          <w:rFonts w:ascii="Times New Roman" w:hAnsi="Times New Roman" w:cs="Times New Roman"/>
          <w:color w:val="000000" w:themeColor="text1"/>
        </w:rPr>
        <w:t xml:space="preserve">politicians offer the platforms “closest” to their preferences. </w:t>
      </w:r>
    </w:p>
    <w:p w14:paraId="7884B816" w14:textId="24B39ABC" w:rsidR="005B13A2" w:rsidRDefault="00326F95" w:rsidP="001673B5">
      <w:pPr>
        <w:spacing w:line="480" w:lineRule="auto"/>
        <w:ind w:firstLine="360"/>
        <w:rPr>
          <w:rFonts w:ascii="Times New Roman" w:hAnsi="Times New Roman" w:cs="Times New Roman"/>
        </w:rPr>
      </w:pPr>
      <w:r w:rsidRPr="00495D8F">
        <w:rPr>
          <w:rFonts w:ascii="Times New Roman" w:hAnsi="Times New Roman" w:cs="Times New Roman"/>
          <w:color w:val="000000" w:themeColor="text1"/>
        </w:rPr>
        <w:t>While</w:t>
      </w:r>
      <w:r w:rsidRPr="00495D8F">
        <w:t xml:space="preserve"> </w:t>
      </w:r>
      <w:r w:rsidR="00B442D4">
        <w:rPr>
          <w:rFonts w:ascii="Times New Roman" w:hAnsi="Times New Roman" w:cs="Times New Roman"/>
          <w:color w:val="000000" w:themeColor="text1"/>
        </w:rPr>
        <w:t>this paper</w:t>
      </w:r>
      <w:r w:rsidRPr="00495D8F">
        <w:rPr>
          <w:rFonts w:ascii="Times New Roman" w:hAnsi="Times New Roman" w:cs="Times New Roman"/>
          <w:color w:val="000000" w:themeColor="text1"/>
        </w:rPr>
        <w:t xml:space="preserve"> does not address that issue</w:t>
      </w:r>
      <w:r w:rsidR="0029109E">
        <w:rPr>
          <w:rFonts w:ascii="Times New Roman" w:hAnsi="Times New Roman" w:cs="Times New Roman"/>
          <w:color w:val="000000" w:themeColor="text1"/>
        </w:rPr>
        <w:t xml:space="preserve"> in particular</w:t>
      </w:r>
      <w:r w:rsidRPr="00495D8F">
        <w:rPr>
          <w:rFonts w:ascii="Times New Roman" w:hAnsi="Times New Roman" w:cs="Times New Roman"/>
          <w:color w:val="000000" w:themeColor="text1"/>
        </w:rPr>
        <w:t xml:space="preserve">, </w:t>
      </w:r>
      <w:r>
        <w:rPr>
          <w:rFonts w:ascii="Times New Roman" w:hAnsi="Times New Roman" w:cs="Times New Roman"/>
        </w:rPr>
        <w:t xml:space="preserve">better understanding citizens’ preferences is invaluable regardless. Even if we cannot ascertain the causal direction between voter preferences and the political behavior of their elected officials, it is important for us to know if those preferences are at least mirrored to some extent by politicians. At the heart of the </w:t>
      </w:r>
      <w:r>
        <w:rPr>
          <w:rFonts w:ascii="Times New Roman" w:hAnsi="Times New Roman" w:cs="Times New Roman"/>
        </w:rPr>
        <w:lastRenderedPageBreak/>
        <w:t xml:space="preserve">controversy lies the question: are European citizens actually represented by the EU? If not, then what drives the voting behaviors of the MEPs, the only democratically elected officials </w:t>
      </w:r>
      <w:r w:rsidR="0029109E">
        <w:rPr>
          <w:rFonts w:ascii="Times New Roman" w:hAnsi="Times New Roman" w:cs="Times New Roman"/>
        </w:rPr>
        <w:t xml:space="preserve">in </w:t>
      </w:r>
      <w:r>
        <w:rPr>
          <w:rFonts w:ascii="Times New Roman" w:hAnsi="Times New Roman" w:cs="Times New Roman"/>
        </w:rPr>
        <w:t>the EU government? These questions have important implications, but also present an opportunity to better understand the link between citizen preferences and the behavior of their elected officials.</w:t>
      </w:r>
    </w:p>
    <w:p w14:paraId="1943D9DE" w14:textId="77777777" w:rsidR="00B7740B" w:rsidRDefault="00B7740B" w:rsidP="001673B5">
      <w:pPr>
        <w:spacing w:line="480" w:lineRule="auto"/>
        <w:ind w:firstLine="360"/>
        <w:rPr>
          <w:rFonts w:ascii="Times New Roman" w:hAnsi="Times New Roman" w:cs="Times New Roman"/>
        </w:rPr>
      </w:pPr>
    </w:p>
    <w:p w14:paraId="6AB1144B" w14:textId="69BB164B" w:rsidR="00585275" w:rsidRDefault="005B13A2" w:rsidP="00DC6EE7">
      <w:pPr>
        <w:spacing w:line="480" w:lineRule="auto"/>
        <w:ind w:firstLine="360"/>
        <w:rPr>
          <w:rFonts w:ascii="Times New Roman" w:hAnsi="Times New Roman" w:cs="Times New Roman"/>
        </w:rPr>
      </w:pPr>
      <w:r>
        <w:rPr>
          <w:rFonts w:ascii="Times New Roman" w:hAnsi="Times New Roman" w:cs="Times New Roman"/>
        </w:rPr>
        <w:tab/>
      </w:r>
      <w:r w:rsidR="005F55A3">
        <w:rPr>
          <w:rFonts w:ascii="Times New Roman" w:hAnsi="Times New Roman" w:cs="Times New Roman"/>
        </w:rPr>
        <w:t>There are several methods that academics and researchers have used over the years to analyze survey data. The most common, and the easiest to implement, is called disaggregation, which consists of tallying the average response for a question (</w:t>
      </w:r>
      <w:proofErr w:type="gramStart"/>
      <w:r w:rsidR="005F55A3">
        <w:rPr>
          <w:rFonts w:ascii="Times New Roman" w:hAnsi="Times New Roman" w:cs="Times New Roman"/>
        </w:rPr>
        <w:t>i.e.</w:t>
      </w:r>
      <w:proofErr w:type="gramEnd"/>
      <w:r w:rsidR="00FC0F73">
        <w:rPr>
          <w:rFonts w:ascii="Times New Roman" w:hAnsi="Times New Roman" w:cs="Times New Roman"/>
        </w:rPr>
        <w:t xml:space="preserve"> the</w:t>
      </w:r>
      <w:r w:rsidR="005F55A3">
        <w:rPr>
          <w:rFonts w:ascii="Times New Roman" w:hAnsi="Times New Roman" w:cs="Times New Roman"/>
        </w:rPr>
        <w:t xml:space="preserve"> support for a certain policy) for the big unit under study</w:t>
      </w:r>
      <w:r w:rsidR="00EC6F17">
        <w:rPr>
          <w:rFonts w:ascii="Times New Roman" w:hAnsi="Times New Roman" w:cs="Times New Roman"/>
        </w:rPr>
        <w:t>: if 50% of respondents in the Ile-de-France region support higher taxes, then that region’s support is coded as 50%</w:t>
      </w:r>
      <w:r w:rsidR="00FC0F73">
        <w:rPr>
          <w:rFonts w:ascii="Times New Roman" w:hAnsi="Times New Roman" w:cs="Times New Roman"/>
        </w:rPr>
        <w:t>.</w:t>
      </w:r>
      <w:r w:rsidR="00461405">
        <w:rPr>
          <w:rStyle w:val="FootnoteReference"/>
          <w:rFonts w:ascii="Times New Roman" w:hAnsi="Times New Roman" w:cs="Times New Roman"/>
        </w:rPr>
        <w:footnoteReference w:id="16"/>
      </w:r>
      <w:r w:rsidR="005F55A3">
        <w:rPr>
          <w:rFonts w:ascii="Times New Roman" w:hAnsi="Times New Roman" w:cs="Times New Roman"/>
        </w:rPr>
        <w:t xml:space="preserve"> </w:t>
      </w:r>
      <w:r w:rsidR="00585275">
        <w:rPr>
          <w:rFonts w:ascii="Times New Roman" w:hAnsi="Times New Roman" w:cs="Times New Roman"/>
        </w:rPr>
        <w:t>However, this method has significant shortcomings, especially when dealing with low sample sizes. Further, Lax and Phillips note that disaggregation is less likely to be biased when estimating opinion that is stable over time. Unfortunately, the most interesting issues to study are often those subjective to controversy or shifting attitudes over time. Perhaps the biggest shortcoming with disaggregation is the potential of calculating biased estimates due to non-representative samples, which can over or under represent certain key demographic groups</w:t>
      </w:r>
      <w:r w:rsidR="00585275">
        <w:rPr>
          <w:rStyle w:val="FootnoteReference"/>
          <w:rFonts w:ascii="Times New Roman" w:hAnsi="Times New Roman" w:cs="Times New Roman"/>
        </w:rPr>
        <w:footnoteReference w:id="17"/>
      </w:r>
      <w:r w:rsidR="00585275">
        <w:rPr>
          <w:rFonts w:ascii="Times New Roman" w:hAnsi="Times New Roman" w:cs="Times New Roman"/>
        </w:rPr>
        <w:t>. As we will see, MRP’s methodology allows it to overcome many of these problems and achieve robust estimates instead.</w:t>
      </w:r>
    </w:p>
    <w:p w14:paraId="2587C4B5" w14:textId="310011A1"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 xml:space="preserve">MRP is a method that can be used to estimate subnational (or regional) preferences using </w:t>
      </w:r>
      <w:r w:rsidR="00A946B5">
        <w:rPr>
          <w:rFonts w:ascii="Times New Roman" w:hAnsi="Times New Roman" w:cs="Times New Roman"/>
        </w:rPr>
        <w:t xml:space="preserve">national </w:t>
      </w:r>
      <w:r>
        <w:rPr>
          <w:rFonts w:ascii="Times New Roman" w:hAnsi="Times New Roman" w:cs="Times New Roman"/>
        </w:rPr>
        <w:t xml:space="preserve">survey data, </w:t>
      </w:r>
      <w:r w:rsidR="00A946B5">
        <w:rPr>
          <w:rFonts w:ascii="Times New Roman" w:hAnsi="Times New Roman" w:cs="Times New Roman"/>
        </w:rPr>
        <w:t>by</w:t>
      </w:r>
      <w:r>
        <w:rPr>
          <w:rFonts w:ascii="Times New Roman" w:hAnsi="Times New Roman" w:cs="Times New Roman"/>
        </w:rPr>
        <w:t xml:space="preserve"> </w:t>
      </w:r>
      <w:r w:rsidR="00A946B5">
        <w:rPr>
          <w:rFonts w:ascii="Times New Roman" w:hAnsi="Times New Roman" w:cs="Times New Roman"/>
        </w:rPr>
        <w:t xml:space="preserve">employing random (mixed) effects which perform </w:t>
      </w:r>
      <w:r>
        <w:rPr>
          <w:rFonts w:ascii="Times New Roman" w:hAnsi="Times New Roman" w:cs="Times New Roman"/>
        </w:rPr>
        <w:t>partial poo</w:t>
      </w:r>
      <w:r w:rsidR="00A946B5">
        <w:rPr>
          <w:rFonts w:ascii="Times New Roman" w:hAnsi="Times New Roman" w:cs="Times New Roman"/>
        </w:rPr>
        <w:t>ling:</w:t>
      </w:r>
      <w:r>
        <w:rPr>
          <w:rFonts w:ascii="Times New Roman" w:hAnsi="Times New Roman" w:cs="Times New Roman"/>
        </w:rPr>
        <w:t xml:space="preserve"> </w:t>
      </w:r>
      <w:r w:rsidR="0017288C">
        <w:rPr>
          <w:rFonts w:ascii="Times New Roman" w:hAnsi="Times New Roman" w:cs="Times New Roman"/>
        </w:rPr>
        <w:t xml:space="preserve">information from </w:t>
      </w:r>
      <w:r>
        <w:rPr>
          <w:rFonts w:ascii="Times New Roman" w:hAnsi="Times New Roman" w:cs="Times New Roman"/>
        </w:rPr>
        <w:t>‘small’ units (such as individual voters)</w:t>
      </w:r>
      <w:r w:rsidR="00A946B5">
        <w:rPr>
          <w:rFonts w:ascii="Times New Roman" w:hAnsi="Times New Roman" w:cs="Times New Roman"/>
        </w:rPr>
        <w:t xml:space="preserve"> that</w:t>
      </w:r>
      <w:r>
        <w:rPr>
          <w:rFonts w:ascii="Times New Roman" w:hAnsi="Times New Roman" w:cs="Times New Roman"/>
        </w:rPr>
        <w:t xml:space="preserve"> reside within ‘big’ units </w:t>
      </w:r>
      <w:r>
        <w:rPr>
          <w:rFonts w:ascii="Times New Roman" w:hAnsi="Times New Roman" w:cs="Times New Roman"/>
        </w:rPr>
        <w:lastRenderedPageBreak/>
        <w:t xml:space="preserve">(congressional districts, U.S. states, European countries) </w:t>
      </w:r>
      <w:r w:rsidR="0017288C">
        <w:rPr>
          <w:rFonts w:ascii="Times New Roman" w:hAnsi="Times New Roman" w:cs="Times New Roman"/>
        </w:rPr>
        <w:t xml:space="preserve">is shared within the big units in the sample in order </w:t>
      </w:r>
      <w:r>
        <w:rPr>
          <w:rFonts w:ascii="Times New Roman" w:hAnsi="Times New Roman" w:cs="Times New Roman"/>
        </w:rPr>
        <w:t xml:space="preserve">to increase the accuracy of the model fit. </w:t>
      </w:r>
    </w:p>
    <w:p w14:paraId="1C2D037A" w14:textId="582A2FF8" w:rsidR="00D35CD7" w:rsidRDefault="00DC6EE7" w:rsidP="00DC6EE7">
      <w:pPr>
        <w:spacing w:line="480" w:lineRule="auto"/>
        <w:ind w:firstLine="360"/>
        <w:rPr>
          <w:rFonts w:ascii="Times New Roman" w:hAnsi="Times New Roman" w:cs="Times New Roman"/>
        </w:rPr>
      </w:pPr>
      <w:r>
        <w:rPr>
          <w:rFonts w:ascii="Times New Roman" w:hAnsi="Times New Roman" w:cs="Times New Roman"/>
        </w:rPr>
        <w:t>The idea is that</w:t>
      </w:r>
      <w:r w:rsidR="00D35CD7">
        <w:rPr>
          <w:rFonts w:ascii="Times New Roman" w:hAnsi="Times New Roman" w:cs="Times New Roman"/>
        </w:rPr>
        <w:t xml:space="preserve"> survey respondents - the</w:t>
      </w:r>
      <w:r>
        <w:rPr>
          <w:rFonts w:ascii="Times New Roman" w:hAnsi="Times New Roman" w:cs="Times New Roman"/>
        </w:rPr>
        <w:t xml:space="preserve"> ‘small’ units</w:t>
      </w:r>
      <w:r w:rsidR="00D35CD7">
        <w:rPr>
          <w:rFonts w:ascii="Times New Roman" w:hAnsi="Times New Roman" w:cs="Times New Roman"/>
        </w:rPr>
        <w:t xml:space="preserve"> </w:t>
      </w:r>
      <w:r w:rsidR="00F87146">
        <w:rPr>
          <w:rFonts w:ascii="Times New Roman" w:hAnsi="Times New Roman" w:cs="Times New Roman"/>
        </w:rPr>
        <w:t>- have</w:t>
      </w:r>
      <w:r>
        <w:rPr>
          <w:rFonts w:ascii="Times New Roman" w:hAnsi="Times New Roman" w:cs="Times New Roman"/>
        </w:rPr>
        <w:t xml:space="preserve"> idiosyncratic features unique to the particular ‘big’ unit they reside in, but also have characteristics with other similar ‘small’ units across all of the ‘big’ units in the sample</w:t>
      </w:r>
      <w:r>
        <w:rPr>
          <w:rStyle w:val="FootnoteReference"/>
          <w:rFonts w:ascii="Times New Roman" w:hAnsi="Times New Roman" w:cs="Times New Roman"/>
        </w:rPr>
        <w:footnoteReference w:id="18"/>
      </w:r>
      <w:r>
        <w:rPr>
          <w:rFonts w:ascii="Times New Roman" w:hAnsi="Times New Roman" w:cs="Times New Roman"/>
        </w:rPr>
        <w:t xml:space="preserve">. For example, a 20-year-old university educated male in the Ile-de-France region of France will have unique characteristics that he shares with other individuals living in that region, but will also have shared features with 20-year-old educated males in the London region of the U.K. and the North-West region of Italy. Therefore, </w:t>
      </w:r>
      <w:r w:rsidR="00F87146">
        <w:rPr>
          <w:rFonts w:ascii="Times New Roman" w:hAnsi="Times New Roman" w:cs="Times New Roman"/>
        </w:rPr>
        <w:t>survey responses are modeled as a function of demographic factors (age, ethnicity, education) and geographic factors. T</w:t>
      </w:r>
      <w:r>
        <w:rPr>
          <w:rFonts w:ascii="Times New Roman" w:hAnsi="Times New Roman" w:cs="Times New Roman"/>
        </w:rPr>
        <w:t xml:space="preserve">he first stage of the analysis consists of fitting a multilevel regression on a survey response – for instance support for a certain policy </w:t>
      </w:r>
      <w:r w:rsidR="00D954C6">
        <w:rPr>
          <w:rFonts w:ascii="Times New Roman" w:hAnsi="Times New Roman" w:cs="Times New Roman"/>
        </w:rPr>
        <w:t xml:space="preserve">(for increasing fines for big polluters) </w:t>
      </w:r>
      <w:r>
        <w:rPr>
          <w:rFonts w:ascii="Times New Roman" w:hAnsi="Times New Roman" w:cs="Times New Roman"/>
        </w:rPr>
        <w:t xml:space="preserve">using individual level predictors for the ‘small’ unit and predictors for the ‘bigger’ units. </w:t>
      </w:r>
      <w:r w:rsidR="005F4EBE">
        <w:rPr>
          <w:rFonts w:ascii="Times New Roman" w:hAnsi="Times New Roman" w:cs="Times New Roman"/>
        </w:rPr>
        <w:t>This methodology is also called “partial pooling” because it pools a part (but not all) of the estimates for the small units towards the group mean within the big unit.</w:t>
      </w:r>
    </w:p>
    <w:p w14:paraId="64921949" w14:textId="000A09F7"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 xml:space="preserve">The choice of predictors for the bigger units depends on the question under study. For instance, a model analyzing survey responses on attitudes towards abortion might want to include the share of Catholic individuals in the states under study, and a question asking about attitudes towards environmental regulations might want to include the percentage of employment tied to the fossil fuel industry in the states under study. </w:t>
      </w:r>
    </w:p>
    <w:p w14:paraId="53E0F4F0" w14:textId="32BFFBC9"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Once the initial model is fit, the poststratification step consists of using census data to tabulate the actual distribution of the individual level predictors in the population (</w:t>
      </w:r>
      <w:proofErr w:type="gramStart"/>
      <w:r>
        <w:rPr>
          <w:rFonts w:ascii="Times New Roman" w:hAnsi="Times New Roman" w:cs="Times New Roman"/>
        </w:rPr>
        <w:t>i.e.</w:t>
      </w:r>
      <w:proofErr w:type="gramEnd"/>
      <w:r>
        <w:rPr>
          <w:rFonts w:ascii="Times New Roman" w:hAnsi="Times New Roman" w:cs="Times New Roman"/>
        </w:rPr>
        <w:t xml:space="preserve"> counting all of the 20-year-old university educated males in all regions, and then all of the 20-year-old </w:t>
      </w:r>
      <w:r>
        <w:rPr>
          <w:rFonts w:ascii="Times New Roman" w:hAnsi="Times New Roman" w:cs="Times New Roman"/>
        </w:rPr>
        <w:lastRenderedPageBreak/>
        <w:t>university educated females and so on, for all combination of categories included in the model). These distributions are used as weights to estimate the attitude for the ‘big’ units under study.</w:t>
      </w:r>
      <w:r>
        <w:rPr>
          <w:rStyle w:val="FootnoteReference"/>
          <w:rFonts w:ascii="Times New Roman" w:hAnsi="Times New Roman" w:cs="Times New Roman"/>
        </w:rPr>
        <w:footnoteReference w:id="19"/>
      </w:r>
      <w:r>
        <w:rPr>
          <w:rFonts w:ascii="Times New Roman" w:hAnsi="Times New Roman" w:cs="Times New Roman"/>
        </w:rPr>
        <w:t xml:space="preserve"> </w:t>
      </w:r>
    </w:p>
    <w:p w14:paraId="0A2B1A3A" w14:textId="07BA39F5" w:rsidR="004C744E" w:rsidRPr="001B75DE" w:rsidRDefault="004C744E" w:rsidP="00DC6EE7">
      <w:pPr>
        <w:spacing w:line="480" w:lineRule="auto"/>
        <w:ind w:firstLine="360"/>
        <w:rPr>
          <w:rFonts w:ascii="Times New Roman" w:hAnsi="Times New Roman" w:cs="Times New Roman"/>
        </w:rPr>
      </w:pPr>
      <w:r>
        <w:rPr>
          <w:rFonts w:ascii="Times New Roman" w:hAnsi="Times New Roman" w:cs="Times New Roman"/>
        </w:rPr>
        <w:t xml:space="preserve">While MRP functions best when it uses nationally representative data, it can also perform well when </w:t>
      </w:r>
      <w:r w:rsidR="00F91222">
        <w:rPr>
          <w:rFonts w:ascii="Times New Roman" w:hAnsi="Times New Roman" w:cs="Times New Roman"/>
        </w:rPr>
        <w:t>dealing with non-representative surveys</w:t>
      </w:r>
      <w:r w:rsidR="00075271">
        <w:rPr>
          <w:rFonts w:ascii="Times New Roman" w:hAnsi="Times New Roman" w:cs="Times New Roman"/>
        </w:rPr>
        <w:t xml:space="preserve"> thanks to the use of actual demographic composition given by the census.</w:t>
      </w:r>
      <w:r w:rsidR="00F91222">
        <w:rPr>
          <w:rStyle w:val="FootnoteReference"/>
          <w:rFonts w:ascii="Times New Roman" w:hAnsi="Times New Roman" w:cs="Times New Roman"/>
        </w:rPr>
        <w:footnoteReference w:id="20"/>
      </w:r>
      <w:r w:rsidR="00075271">
        <w:rPr>
          <w:rFonts w:ascii="Times New Roman" w:hAnsi="Times New Roman" w:cs="Times New Roman"/>
        </w:rPr>
        <w:t xml:space="preserve"> What’s more, </w:t>
      </w:r>
      <w:r w:rsidR="0009267D">
        <w:rPr>
          <w:rFonts w:ascii="Times New Roman" w:hAnsi="Times New Roman" w:cs="Times New Roman"/>
        </w:rPr>
        <w:t xml:space="preserve">MRP allows the estimation of big units that are not available in the sample. In the United States for instance, it is often the case that states such as Alaska or Wyoming are not sampled. In Europe, places like Corsica or Northern Island are also left out of major surveys, such as the Eurobarometer. MRP corrects for that by “projecting” the demographic and geographic effects obtained in the first stage </w:t>
      </w:r>
      <w:r w:rsidR="00430EA6">
        <w:rPr>
          <w:rFonts w:ascii="Times New Roman" w:hAnsi="Times New Roman" w:cs="Times New Roman"/>
        </w:rPr>
        <w:t>o</w:t>
      </w:r>
      <w:r w:rsidR="0009267D">
        <w:rPr>
          <w:rFonts w:ascii="Times New Roman" w:hAnsi="Times New Roman" w:cs="Times New Roman"/>
        </w:rPr>
        <w:t>nto the actual demographic composition of those states</w:t>
      </w:r>
      <w:r w:rsidR="00430EA6">
        <w:rPr>
          <w:rFonts w:ascii="Times New Roman" w:hAnsi="Times New Roman" w:cs="Times New Roman"/>
        </w:rPr>
        <w:t>, further enhancing the estimates with the geographic predictors the researcher has access to.</w:t>
      </w:r>
    </w:p>
    <w:p w14:paraId="59F53C23" w14:textId="77777777" w:rsidR="00326F95" w:rsidRDefault="00326F95" w:rsidP="00326F95">
      <w:pPr>
        <w:rPr>
          <w:rFonts w:ascii="Times New Roman" w:hAnsi="Times New Roman" w:cs="Times New Roman"/>
        </w:rPr>
      </w:pPr>
    </w:p>
    <w:p w14:paraId="0AF757A0" w14:textId="6A57E5B1" w:rsidR="00326F95" w:rsidRDefault="006E372D" w:rsidP="00326F95">
      <w:pPr>
        <w:spacing w:line="480" w:lineRule="auto"/>
        <w:ind w:firstLine="360"/>
        <w:rPr>
          <w:rFonts w:ascii="Times New Roman" w:hAnsi="Times New Roman" w:cs="Times New Roman"/>
        </w:rPr>
      </w:pPr>
      <w:r>
        <w:rPr>
          <w:rFonts w:ascii="Times New Roman" w:hAnsi="Times New Roman" w:cs="Times New Roman"/>
        </w:rPr>
        <w:t>W</w:t>
      </w:r>
      <w:r w:rsidR="00326F95">
        <w:rPr>
          <w:rFonts w:ascii="Times New Roman" w:hAnsi="Times New Roman" w:cs="Times New Roman"/>
        </w:rPr>
        <w:t>hile MRP has been extensively used to analyze and understand voter preferences</w:t>
      </w:r>
      <w:r w:rsidR="00326F95">
        <w:rPr>
          <w:rStyle w:val="FootnoteReference"/>
          <w:rFonts w:ascii="Times New Roman" w:hAnsi="Times New Roman" w:cs="Times New Roman"/>
        </w:rPr>
        <w:footnoteReference w:id="21"/>
      </w:r>
      <w:r w:rsidR="00326F95">
        <w:rPr>
          <w:rFonts w:ascii="Times New Roman" w:hAnsi="Times New Roman" w:cs="Times New Roman"/>
        </w:rPr>
        <w:t xml:space="preserve"> and then compare those preferences to the voting behavior of elected officials</w:t>
      </w:r>
      <w:r w:rsidR="00326F95">
        <w:rPr>
          <w:rStyle w:val="FootnoteReference"/>
          <w:rFonts w:ascii="Times New Roman" w:hAnsi="Times New Roman" w:cs="Times New Roman"/>
        </w:rPr>
        <w:footnoteReference w:id="22"/>
      </w:r>
      <w:r w:rsidR="00326F95">
        <w:rPr>
          <w:rFonts w:ascii="Times New Roman" w:hAnsi="Times New Roman" w:cs="Times New Roman"/>
        </w:rPr>
        <w:t xml:space="preserve"> or by the patterns of rulings given by federal judges</w:t>
      </w:r>
      <w:r w:rsidR="00326F95">
        <w:rPr>
          <w:rStyle w:val="FootnoteReference"/>
          <w:rFonts w:ascii="Times New Roman" w:hAnsi="Times New Roman" w:cs="Times New Roman"/>
        </w:rPr>
        <w:footnoteReference w:id="23"/>
      </w:r>
      <w:r w:rsidR="00326F95">
        <w:rPr>
          <w:rFonts w:ascii="Times New Roman" w:hAnsi="Times New Roman" w:cs="Times New Roman"/>
        </w:rPr>
        <w:t xml:space="preserve">, the brunt of the research has been applied to the U.S. – where a common language (which simplifies polling and surveying), streamlined political representation across states and congressional districts, as well as census taking, make implementing MRP relatively straightforward. In Europe, MRP has been used to predict political outcomes such as </w:t>
      </w:r>
      <w:r w:rsidR="00326F95">
        <w:rPr>
          <w:rFonts w:ascii="Times New Roman" w:hAnsi="Times New Roman" w:cs="Times New Roman"/>
        </w:rPr>
        <w:lastRenderedPageBreak/>
        <w:t>the Brexit vote</w:t>
      </w:r>
      <w:r w:rsidR="00326F95">
        <w:rPr>
          <w:rStyle w:val="FootnoteReference"/>
          <w:rFonts w:ascii="Times New Roman" w:hAnsi="Times New Roman" w:cs="Times New Roman"/>
        </w:rPr>
        <w:footnoteReference w:id="24"/>
      </w:r>
      <w:r w:rsidR="00326F95">
        <w:rPr>
          <w:rFonts w:ascii="Times New Roman" w:hAnsi="Times New Roman" w:cs="Times New Roman"/>
        </w:rPr>
        <w:t xml:space="preserve"> but has not been used to: 1) model European preferences using a Bayesian framework and 2) correlate the findings with the voting behavior of Members of the European Parliament (MEPs). </w:t>
      </w:r>
    </w:p>
    <w:p w14:paraId="4DE95E7B" w14:textId="7BCF4697" w:rsidR="00326F95" w:rsidRDefault="00326F95" w:rsidP="00326F95">
      <w:pPr>
        <w:spacing w:line="480" w:lineRule="auto"/>
        <w:ind w:firstLine="360"/>
        <w:rPr>
          <w:rFonts w:ascii="Times New Roman" w:hAnsi="Times New Roman" w:cs="Times New Roman"/>
        </w:rPr>
      </w:pPr>
      <w:r>
        <w:rPr>
          <w:rFonts w:ascii="Times New Roman" w:hAnsi="Times New Roman" w:cs="Times New Roman"/>
        </w:rPr>
        <w:t xml:space="preserve">With Europe as the geographic area under study, research has so far focused on assessing the quality of predictions produced by MRP by comparing these sub-national level estimates with “true” values produced by the few surveys that do measure sub-national opinions. For instance, using Eurobarometer polling data, </w:t>
      </w:r>
      <w:proofErr w:type="spellStart"/>
      <w:r>
        <w:rPr>
          <w:rFonts w:ascii="Times New Roman" w:hAnsi="Times New Roman" w:cs="Times New Roman"/>
        </w:rPr>
        <w:t>Todshov</w:t>
      </w:r>
      <w:proofErr w:type="spellEnd"/>
      <w:r>
        <w:rPr>
          <w:rFonts w:ascii="Times New Roman" w:hAnsi="Times New Roman" w:cs="Times New Roman"/>
        </w:rPr>
        <w:t xml:space="preserve"> finds that MRP usually performs well in replicating “true” preferences, but that “</w:t>
      </w:r>
      <w:r w:rsidRPr="006560FC">
        <w:rPr>
          <w:rFonts w:ascii="Times New Roman" w:hAnsi="Times New Roman" w:cs="Times New Roman"/>
        </w:rPr>
        <w:t>the approach is less capable of reconstructing the relative rankings of the country means and hitting the range of plausible values of the individual state means</w:t>
      </w:r>
      <w:r>
        <w:rPr>
          <w:rStyle w:val="FootnoteReference"/>
          <w:rFonts w:ascii="Times New Roman" w:hAnsi="Times New Roman" w:cs="Times New Roman"/>
          <w:vertAlign w:val="baseline"/>
        </w:rPr>
        <w:t>”</w:t>
      </w:r>
      <w:r>
        <w:rPr>
          <w:rStyle w:val="FootnoteReference"/>
          <w:rFonts w:ascii="Times New Roman" w:hAnsi="Times New Roman" w:cs="Times New Roman"/>
        </w:rPr>
        <w:footnoteReference w:id="25"/>
      </w:r>
      <w:r>
        <w:rPr>
          <w:rFonts w:ascii="Times New Roman" w:hAnsi="Times New Roman" w:cs="Times New Roman"/>
        </w:rPr>
        <w:t xml:space="preserve">. He also highlights the importance of including country level predictors in the multilevel models. </w:t>
      </w:r>
      <w:proofErr w:type="spellStart"/>
      <w:r>
        <w:rPr>
          <w:rFonts w:ascii="Times New Roman" w:hAnsi="Times New Roman" w:cs="Times New Roman"/>
        </w:rPr>
        <w:t>Lipp</w:t>
      </w:r>
      <w:proofErr w:type="spellEnd"/>
      <w:r>
        <w:rPr>
          <w:rFonts w:ascii="Times New Roman" w:hAnsi="Times New Roman" w:cs="Times New Roman"/>
        </w:rPr>
        <w:t xml:space="preserve"> and </w:t>
      </w:r>
      <w:proofErr w:type="spellStart"/>
      <w:r>
        <w:rPr>
          <w:rFonts w:ascii="Times New Roman" w:hAnsi="Times New Roman" w:cs="Times New Roman"/>
        </w:rPr>
        <w:t>Schraff</w:t>
      </w:r>
      <w:proofErr w:type="spellEnd"/>
      <w:r>
        <w:rPr>
          <w:rFonts w:ascii="Times New Roman" w:hAnsi="Times New Roman" w:cs="Times New Roman"/>
        </w:rPr>
        <w:t xml:space="preserve"> conduct a similar study, this time comparing the performance of different methods and algorithms, including disaggregation, “classical” MRP, synthetic MRP (as developed by </w:t>
      </w:r>
      <w:proofErr w:type="spellStart"/>
      <w:r>
        <w:rPr>
          <w:rFonts w:ascii="Times New Roman" w:hAnsi="Times New Roman" w:cs="Times New Roman"/>
        </w:rPr>
        <w:t>Leemann</w:t>
      </w:r>
      <w:proofErr w:type="spellEnd"/>
      <w:r>
        <w:rPr>
          <w:rFonts w:ascii="Times New Roman" w:hAnsi="Times New Roman" w:cs="Times New Roman"/>
        </w:rPr>
        <w:t xml:space="preserve"> and </w:t>
      </w:r>
      <w:proofErr w:type="spellStart"/>
      <w:r>
        <w:rPr>
          <w:rFonts w:ascii="Times New Roman" w:hAnsi="Times New Roman" w:cs="Times New Roman"/>
        </w:rPr>
        <w:t>Westfallen</w:t>
      </w:r>
      <w:proofErr w:type="spellEnd"/>
      <w:r>
        <w:rPr>
          <w:rFonts w:ascii="Times New Roman" w:hAnsi="Times New Roman" w:cs="Times New Roman"/>
        </w:rPr>
        <w:t>)</w:t>
      </w:r>
      <w:r>
        <w:rPr>
          <w:rStyle w:val="FootnoteReference"/>
          <w:rFonts w:ascii="Times New Roman" w:hAnsi="Times New Roman" w:cs="Times New Roman"/>
        </w:rPr>
        <w:footnoteReference w:id="26"/>
      </w:r>
      <w:r>
        <w:rPr>
          <w:rFonts w:ascii="Times New Roman" w:hAnsi="Times New Roman" w:cs="Times New Roman"/>
        </w:rPr>
        <w:t>, and Bayesian Additive Regression Trees (BART). They conclude that synthetic MRP and BART perform best.</w:t>
      </w:r>
      <w:r>
        <w:rPr>
          <w:rStyle w:val="FootnoteReference"/>
          <w:rFonts w:ascii="Times New Roman" w:hAnsi="Times New Roman" w:cs="Times New Roman"/>
        </w:rPr>
        <w:footnoteReference w:id="27"/>
      </w:r>
      <w:r>
        <w:rPr>
          <w:rFonts w:ascii="Times New Roman" w:hAnsi="Times New Roman" w:cs="Times New Roman"/>
        </w:rPr>
        <w:t xml:space="preserve"> However, their analysis relies on Frequentist point estimation, while </w:t>
      </w:r>
      <w:r w:rsidR="002E2F35">
        <w:rPr>
          <w:rFonts w:ascii="Times New Roman" w:hAnsi="Times New Roman" w:cs="Times New Roman"/>
        </w:rPr>
        <w:t>this paper</w:t>
      </w:r>
      <w:r>
        <w:rPr>
          <w:rFonts w:ascii="Times New Roman" w:hAnsi="Times New Roman" w:cs="Times New Roman"/>
        </w:rPr>
        <w:t xml:space="preserve"> augment</w:t>
      </w:r>
      <w:r w:rsidR="002E2F35">
        <w:rPr>
          <w:rFonts w:ascii="Times New Roman" w:hAnsi="Times New Roman" w:cs="Times New Roman"/>
        </w:rPr>
        <w:t>s</w:t>
      </w:r>
      <w:r>
        <w:rPr>
          <w:rFonts w:ascii="Times New Roman" w:hAnsi="Times New Roman" w:cs="Times New Roman"/>
        </w:rPr>
        <w:t xml:space="preserve"> </w:t>
      </w:r>
      <w:r w:rsidR="002E2F35">
        <w:rPr>
          <w:rFonts w:ascii="Times New Roman" w:hAnsi="Times New Roman" w:cs="Times New Roman"/>
        </w:rPr>
        <w:t>the</w:t>
      </w:r>
      <w:r>
        <w:rPr>
          <w:rFonts w:ascii="Times New Roman" w:hAnsi="Times New Roman" w:cs="Times New Roman"/>
        </w:rPr>
        <w:t xml:space="preserve"> analysis with the inclusion of priors, as well as deriving the full posterior distribution of the estimated preferences</w:t>
      </w:r>
      <w:r w:rsidR="002E2F35">
        <w:rPr>
          <w:rFonts w:ascii="Times New Roman" w:hAnsi="Times New Roman" w:cs="Times New Roman"/>
        </w:rPr>
        <w:t xml:space="preserve"> </w:t>
      </w:r>
      <w:r>
        <w:rPr>
          <w:rFonts w:ascii="Times New Roman" w:hAnsi="Times New Roman" w:cs="Times New Roman"/>
        </w:rPr>
        <w:t>by using the Stan programming language.</w:t>
      </w:r>
      <w:r>
        <w:rPr>
          <w:rStyle w:val="FootnoteReference"/>
          <w:rFonts w:ascii="Times New Roman" w:hAnsi="Times New Roman" w:cs="Times New Roman"/>
        </w:rPr>
        <w:footnoteReference w:id="28"/>
      </w:r>
    </w:p>
    <w:p w14:paraId="5D894A39" w14:textId="77777777" w:rsidR="0023666D" w:rsidRPr="0023666D" w:rsidRDefault="0023666D" w:rsidP="00A646CD">
      <w:pPr>
        <w:spacing w:line="480" w:lineRule="auto"/>
        <w:ind w:firstLine="360"/>
        <w:rPr>
          <w:rFonts w:ascii="Times New Roman" w:hAnsi="Times New Roman" w:cs="Times New Roman"/>
        </w:rPr>
      </w:pPr>
    </w:p>
    <w:p w14:paraId="4E4442EF" w14:textId="2BE1B786" w:rsidR="00084DD1" w:rsidRDefault="00A04393" w:rsidP="00084DD1">
      <w:pPr>
        <w:spacing w:line="480" w:lineRule="auto"/>
        <w:ind w:firstLine="360"/>
        <w:rPr>
          <w:rFonts w:ascii="Times New Roman" w:hAnsi="Times New Roman" w:cs="Times New Roman"/>
        </w:rPr>
      </w:pPr>
      <w:r>
        <w:rPr>
          <w:rFonts w:ascii="Times New Roman" w:hAnsi="Times New Roman" w:cs="Times New Roman"/>
          <w:b/>
          <w:bCs/>
        </w:rPr>
        <w:lastRenderedPageBreak/>
        <w:t>b</w:t>
      </w:r>
      <w:r w:rsidR="00084DD1">
        <w:rPr>
          <w:rFonts w:ascii="Times New Roman" w:hAnsi="Times New Roman" w:cs="Times New Roman"/>
          <w:b/>
          <w:bCs/>
        </w:rPr>
        <w:t>. Representation</w:t>
      </w:r>
    </w:p>
    <w:p w14:paraId="56244181" w14:textId="77777777" w:rsidR="00AB7665" w:rsidRDefault="00084DD1" w:rsidP="004F7577">
      <w:pPr>
        <w:spacing w:line="480" w:lineRule="auto"/>
        <w:ind w:firstLine="360"/>
        <w:rPr>
          <w:rFonts w:ascii="Times New Roman" w:hAnsi="Times New Roman" w:cs="Times New Roman"/>
        </w:rPr>
      </w:pPr>
      <w:r w:rsidRPr="00084DD1">
        <w:rPr>
          <w:rFonts w:ascii="Times New Roman" w:hAnsi="Times New Roman" w:cs="Times New Roman"/>
        </w:rPr>
        <w:t>There are two main ways that countries can send elected representatives to the E.U. Parliament: by electing national or regional representatives.</w:t>
      </w:r>
      <w:r w:rsidRPr="00084DD1">
        <w:rPr>
          <w:rStyle w:val="FootnoteReference"/>
          <w:rFonts w:ascii="Times New Roman" w:hAnsi="Times New Roman" w:cs="Times New Roman"/>
        </w:rPr>
        <w:footnoteReference w:id="29"/>
      </w:r>
      <w:r w:rsidRPr="00084DD1">
        <w:rPr>
          <w:rFonts w:ascii="Times New Roman" w:hAnsi="Times New Roman" w:cs="Times New Roman"/>
        </w:rPr>
        <w:t xml:space="preserve"> In the former, citizens cast their votes for delegates representing a political party and the nationwide results are aggregated and tallied using proportional representation. In the latter, votes are split between electoral constituencies - voters cast ballots for political parties represented at the regional level. My work will focus on the latter case in order to give a form of external validity to the work done by Lax &amp; Phillips, where individual attitudes were correlated with U.S. Senate roll call votes</w:t>
      </w:r>
      <w:r w:rsidRPr="00084DD1">
        <w:rPr>
          <w:rStyle w:val="FootnoteReference"/>
          <w:rFonts w:ascii="Times New Roman" w:hAnsi="Times New Roman" w:cs="Times New Roman"/>
        </w:rPr>
        <w:footnoteReference w:id="30"/>
      </w:r>
      <w:r w:rsidRPr="00084DD1">
        <w:rPr>
          <w:rFonts w:ascii="Times New Roman" w:hAnsi="Times New Roman" w:cs="Times New Roman"/>
        </w:rPr>
        <w:t>.</w:t>
      </w:r>
      <w:r w:rsidR="001D4946">
        <w:rPr>
          <w:rFonts w:ascii="Times New Roman" w:hAnsi="Times New Roman" w:cs="Times New Roman"/>
        </w:rPr>
        <w:t xml:space="preserve"> </w:t>
      </w:r>
      <w:r w:rsidR="001D4946" w:rsidRPr="001D4946">
        <w:rPr>
          <w:rFonts w:ascii="Times New Roman" w:hAnsi="Times New Roman" w:cs="Times New Roman"/>
        </w:rPr>
        <w:t>Consequently, I will assess the subnational preferences of E.U. citizens in 3 countries that have regional constituencies at the E.U. Parliament: France (before 2019), the United Kingdom (before Brexit in 2016) and Italy.</w:t>
      </w:r>
      <w:r w:rsidR="004F7577">
        <w:rPr>
          <w:rFonts w:ascii="Times New Roman" w:hAnsi="Times New Roman" w:cs="Times New Roman"/>
        </w:rPr>
        <w:t xml:space="preserve"> </w:t>
      </w:r>
      <w:r w:rsidR="00AB7665">
        <w:rPr>
          <w:rFonts w:ascii="Times New Roman" w:hAnsi="Times New Roman" w:cs="Times New Roman"/>
        </w:rPr>
        <w:t xml:space="preserve">Although there are other countries, such as Poland and Belgium, that also have regional level representation at the EP, I have chosen the 3 aforementioned countries for ease: their constituencies are nearly equivalent to the pre-established Nomenclature of Territorial Units for States (NUTS) and required minimal recoding and data wrangling. Future research should take into the account the other countries. </w:t>
      </w:r>
    </w:p>
    <w:p w14:paraId="7792E7C5" w14:textId="3898B9FF" w:rsidR="004F7577" w:rsidRDefault="004F7577" w:rsidP="004F7577">
      <w:pPr>
        <w:spacing w:line="480" w:lineRule="auto"/>
        <w:ind w:firstLine="360"/>
        <w:rPr>
          <w:rFonts w:ascii="Times New Roman" w:hAnsi="Times New Roman" w:cs="Times New Roman"/>
        </w:rPr>
      </w:pPr>
      <w:r>
        <w:rPr>
          <w:rFonts w:ascii="Times New Roman" w:hAnsi="Times New Roman" w:cs="Times New Roman"/>
        </w:rPr>
        <w:t>Map 1 below shows the 24 constituencies in my sample.</w:t>
      </w:r>
    </w:p>
    <w:p w14:paraId="242967A4" w14:textId="77777777" w:rsidR="00850886" w:rsidRPr="00084DD1" w:rsidRDefault="00850886" w:rsidP="004F7577">
      <w:pPr>
        <w:spacing w:line="480" w:lineRule="auto"/>
        <w:ind w:firstLine="360"/>
        <w:rPr>
          <w:rFonts w:ascii="Times New Roman" w:hAnsi="Times New Roman" w:cs="Times New Roman"/>
        </w:rPr>
      </w:pPr>
    </w:p>
    <w:p w14:paraId="1FDA9308" w14:textId="49EEA95E" w:rsidR="000261A6" w:rsidRDefault="000261A6" w:rsidP="000261A6">
      <w:pPr>
        <w:spacing w:line="480" w:lineRule="auto"/>
        <w:ind w:firstLine="360"/>
        <w:jc w:val="center"/>
        <w:rPr>
          <w:rFonts w:ascii="Times New Roman" w:hAnsi="Times New Roman" w:cs="Times New Roman"/>
          <w:highlight w:val="yellow"/>
        </w:rPr>
      </w:pPr>
      <w:r>
        <w:rPr>
          <w:rFonts w:ascii="Times New Roman" w:hAnsi="Times New Roman" w:cs="Times New Roman"/>
          <w:noProof/>
        </w:rPr>
        <w:lastRenderedPageBreak/>
        <w:drawing>
          <wp:inline distT="0" distB="0" distL="0" distR="0" wp14:anchorId="02A91D65" wp14:editId="1B16E17B">
            <wp:extent cx="5943600" cy="4204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2F9A34F7" w14:textId="0A281DC5" w:rsidR="000261A6" w:rsidRPr="000261A6" w:rsidRDefault="000261A6" w:rsidP="000261A6">
      <w:pPr>
        <w:spacing w:line="480" w:lineRule="auto"/>
        <w:ind w:firstLine="360"/>
        <w:jc w:val="center"/>
        <w:rPr>
          <w:rFonts w:ascii="Times New Roman" w:hAnsi="Times New Roman" w:cs="Times New Roman"/>
          <w:u w:val="single"/>
        </w:rPr>
      </w:pPr>
      <w:r w:rsidRPr="000261A6">
        <w:rPr>
          <w:rFonts w:ascii="Times New Roman" w:hAnsi="Times New Roman" w:cs="Times New Roman"/>
          <w:u w:val="single"/>
        </w:rPr>
        <w:t xml:space="preserve">Map 1: </w:t>
      </w:r>
      <w:r w:rsidR="00850886">
        <w:rPr>
          <w:rFonts w:ascii="Times New Roman" w:hAnsi="Times New Roman" w:cs="Times New Roman"/>
          <w:u w:val="single"/>
        </w:rPr>
        <w:t xml:space="preserve">24 </w:t>
      </w:r>
      <w:r w:rsidRPr="000261A6">
        <w:rPr>
          <w:rFonts w:ascii="Times New Roman" w:hAnsi="Times New Roman" w:cs="Times New Roman"/>
          <w:u w:val="single"/>
        </w:rPr>
        <w:t>European Parliament Constituencies</w:t>
      </w:r>
      <w:r w:rsidR="00084DD1">
        <w:rPr>
          <w:rFonts w:ascii="Times New Roman" w:hAnsi="Times New Roman" w:cs="Times New Roman"/>
          <w:u w:val="single"/>
        </w:rPr>
        <w:t xml:space="preserve"> Under Study</w:t>
      </w:r>
    </w:p>
    <w:p w14:paraId="5CF73E2A" w14:textId="14203A53" w:rsidR="00A32759" w:rsidRPr="00507E90" w:rsidRDefault="007469D2" w:rsidP="00507E90">
      <w:pPr>
        <w:spacing w:line="480" w:lineRule="auto"/>
        <w:ind w:firstLine="360"/>
        <w:rPr>
          <w:rFonts w:ascii="Times New Roman" w:hAnsi="Times New Roman" w:cs="Times New Roman"/>
        </w:rPr>
      </w:pPr>
      <w:r>
        <w:rPr>
          <w:rFonts w:ascii="Times New Roman" w:hAnsi="Times New Roman" w:cs="Times New Roman"/>
        </w:rPr>
        <w:t xml:space="preserve">Research on </w:t>
      </w:r>
      <w:r w:rsidR="00D231FF">
        <w:rPr>
          <w:rFonts w:ascii="Times New Roman" w:hAnsi="Times New Roman" w:cs="Times New Roman"/>
        </w:rPr>
        <w:t>the effect of electoral subdivisions on MEP voting patterns has been lacking, and the field is likely to offer some invaluable insight on how MEPs represent their constituencies.</w:t>
      </w:r>
      <w:r w:rsidR="00D3230B">
        <w:rPr>
          <w:rFonts w:ascii="Times New Roman" w:hAnsi="Times New Roman" w:cs="Times New Roman"/>
        </w:rPr>
        <w:t xml:space="preserve"> </w:t>
      </w:r>
      <w:r w:rsidR="00DC038C">
        <w:rPr>
          <w:rFonts w:ascii="Times New Roman" w:hAnsi="Times New Roman" w:cs="Times New Roman"/>
        </w:rPr>
        <w:t xml:space="preserve">Using MEP survey data, </w:t>
      </w:r>
      <w:r w:rsidR="00D3230B">
        <w:rPr>
          <w:rFonts w:ascii="Times New Roman" w:hAnsi="Times New Roman" w:cs="Times New Roman"/>
        </w:rPr>
        <w:t>Bowler and Farrell observe that in general voters served by MEPs at the constituency level are better represented</w:t>
      </w:r>
      <w:r w:rsidR="00D231FF">
        <w:rPr>
          <w:rFonts w:ascii="Times New Roman" w:hAnsi="Times New Roman" w:cs="Times New Roman"/>
        </w:rPr>
        <w:t xml:space="preserve"> </w:t>
      </w:r>
      <w:r w:rsidR="00D3230B">
        <w:rPr>
          <w:rFonts w:ascii="Times New Roman" w:hAnsi="Times New Roman" w:cs="Times New Roman"/>
        </w:rPr>
        <w:t>than those represented by national MEPs.</w:t>
      </w:r>
      <w:r w:rsidR="00D3230B">
        <w:rPr>
          <w:rStyle w:val="FootnoteReference"/>
          <w:rFonts w:ascii="Times New Roman" w:hAnsi="Times New Roman" w:cs="Times New Roman"/>
        </w:rPr>
        <w:footnoteReference w:id="31"/>
      </w:r>
      <w:r w:rsidR="00D3230B">
        <w:rPr>
          <w:rFonts w:ascii="Times New Roman" w:hAnsi="Times New Roman" w:cs="Times New Roman"/>
        </w:rPr>
        <w:t xml:space="preserve"> </w:t>
      </w:r>
      <w:r w:rsidR="00F17195">
        <w:rPr>
          <w:rFonts w:ascii="Times New Roman" w:hAnsi="Times New Roman" w:cs="Times New Roman"/>
        </w:rPr>
        <w:t xml:space="preserve">Assessing the </w:t>
      </w:r>
      <w:r w:rsidR="008A49DA">
        <w:rPr>
          <w:rFonts w:ascii="Times New Roman" w:hAnsi="Times New Roman" w:cs="Times New Roman"/>
        </w:rPr>
        <w:t>effects of electoral rules on representative roles</w:t>
      </w:r>
      <w:r w:rsidR="00F17195">
        <w:rPr>
          <w:rFonts w:ascii="Times New Roman" w:hAnsi="Times New Roman" w:cs="Times New Roman"/>
        </w:rPr>
        <w:t>, Far</w:t>
      </w:r>
      <w:r w:rsidR="00D3230B">
        <w:rPr>
          <w:rFonts w:ascii="Times New Roman" w:hAnsi="Times New Roman" w:cs="Times New Roman"/>
        </w:rPr>
        <w:t>r</w:t>
      </w:r>
      <w:r w:rsidR="00F17195">
        <w:rPr>
          <w:rFonts w:ascii="Times New Roman" w:hAnsi="Times New Roman" w:cs="Times New Roman"/>
        </w:rPr>
        <w:t xml:space="preserve">ell and Scully </w:t>
      </w:r>
      <w:r w:rsidR="008A49DA">
        <w:rPr>
          <w:rFonts w:ascii="Times New Roman" w:hAnsi="Times New Roman" w:cs="Times New Roman"/>
        </w:rPr>
        <w:t>argue that two main components</w:t>
      </w:r>
      <w:r w:rsidR="00507E90">
        <w:rPr>
          <w:rFonts w:ascii="Times New Roman" w:hAnsi="Times New Roman" w:cs="Times New Roman"/>
        </w:rPr>
        <w:t xml:space="preserve"> are responsible for much of the influence</w:t>
      </w:r>
      <w:r w:rsidR="008A49DA">
        <w:rPr>
          <w:rFonts w:ascii="Times New Roman" w:hAnsi="Times New Roman" w:cs="Times New Roman"/>
        </w:rPr>
        <w:t xml:space="preserve">: </w:t>
      </w:r>
      <w:r w:rsidR="008A49DA">
        <w:rPr>
          <w:rFonts w:ascii="Times New Roman" w:hAnsi="Times New Roman" w:cs="Times New Roman"/>
          <w:i/>
          <w:iCs/>
        </w:rPr>
        <w:t>ballot structure</w:t>
      </w:r>
      <w:r w:rsidR="008A49DA" w:rsidRPr="008A49DA">
        <w:rPr>
          <w:rFonts w:ascii="Times New Roman" w:hAnsi="Times New Roman" w:cs="Times New Roman"/>
        </w:rPr>
        <w:t xml:space="preserve"> and</w:t>
      </w:r>
      <w:r w:rsidR="008A49DA">
        <w:rPr>
          <w:rFonts w:ascii="Times New Roman" w:hAnsi="Times New Roman" w:cs="Times New Roman"/>
          <w:i/>
          <w:iCs/>
        </w:rPr>
        <w:t xml:space="preserve"> </w:t>
      </w:r>
      <w:r w:rsidR="008A49DA" w:rsidRPr="008A49DA">
        <w:rPr>
          <w:rFonts w:ascii="Times New Roman" w:hAnsi="Times New Roman" w:cs="Times New Roman"/>
          <w:i/>
          <w:iCs/>
        </w:rPr>
        <w:t>magnitude</w:t>
      </w:r>
      <w:r w:rsidR="008A49DA">
        <w:rPr>
          <w:rFonts w:ascii="Times New Roman" w:hAnsi="Times New Roman" w:cs="Times New Roman"/>
        </w:rPr>
        <w:t>.</w:t>
      </w:r>
      <w:r w:rsidR="00507E90">
        <w:rPr>
          <w:rFonts w:ascii="Times New Roman" w:hAnsi="Times New Roman" w:cs="Times New Roman"/>
        </w:rPr>
        <w:t xml:space="preserve"> Ballot structure</w:t>
      </w:r>
      <w:r w:rsidR="008A49DA">
        <w:rPr>
          <w:rFonts w:ascii="Times New Roman" w:hAnsi="Times New Roman" w:cs="Times New Roman"/>
        </w:rPr>
        <w:t xml:space="preserve"> </w:t>
      </w:r>
      <w:r w:rsidR="00F17195" w:rsidRPr="008A49DA">
        <w:rPr>
          <w:rFonts w:ascii="Times New Roman" w:hAnsi="Times New Roman" w:cs="Times New Roman"/>
        </w:rPr>
        <w:t>distinguish</w:t>
      </w:r>
      <w:r w:rsidR="00507E90">
        <w:rPr>
          <w:rFonts w:ascii="Times New Roman" w:hAnsi="Times New Roman" w:cs="Times New Roman"/>
        </w:rPr>
        <w:t>es</w:t>
      </w:r>
      <w:r w:rsidR="00F17195">
        <w:rPr>
          <w:rFonts w:ascii="Times New Roman" w:hAnsi="Times New Roman" w:cs="Times New Roman"/>
        </w:rPr>
        <w:t xml:space="preserve"> between 3 types of representation: “open”, “ordered” </w:t>
      </w:r>
      <w:r w:rsidR="00F17195">
        <w:rPr>
          <w:rFonts w:ascii="Times New Roman" w:hAnsi="Times New Roman" w:cs="Times New Roman"/>
        </w:rPr>
        <w:lastRenderedPageBreak/>
        <w:t>and “closed”</w:t>
      </w:r>
      <w:r w:rsidR="00761F3B">
        <w:rPr>
          <w:rFonts w:ascii="Times New Roman" w:hAnsi="Times New Roman" w:cs="Times New Roman"/>
        </w:rPr>
        <w:t xml:space="preserve">. To paraphrase: </w:t>
      </w:r>
      <w:r w:rsidR="006B38D6">
        <w:rPr>
          <w:rFonts w:ascii="Times New Roman" w:hAnsi="Times New Roman" w:cs="Times New Roman"/>
          <w:lang w:eastAsia="zh-CN"/>
        </w:rPr>
        <w:t>“</w:t>
      </w:r>
      <w:r w:rsidR="00A32759" w:rsidRPr="00507E90">
        <w:rPr>
          <w:rFonts w:ascii="Times New Roman" w:hAnsi="Times New Roman" w:cs="Times New Roman"/>
          <w:lang w:eastAsia="zh-CN"/>
        </w:rPr>
        <w:t>The open systems – in which the candidates’ electoral fates are affected by their personal vote-chasing activities – are used in nine cases […] At the other extreme, closed systems – in which candidates’ electoral fates are determined by their party list placement – are used in eight member states. Finally, there are ordered list systems, in which there is some limited scope for candidates to improve their list placement through personal votes. These are used in nine member states”.</w:t>
      </w:r>
      <w:r w:rsidR="00F17195" w:rsidRPr="00507E90">
        <w:rPr>
          <w:rStyle w:val="FootnoteReference"/>
          <w:rFonts w:ascii="Times New Roman" w:hAnsi="Times New Roman" w:cs="Times New Roman"/>
        </w:rPr>
        <w:footnoteReference w:id="32"/>
      </w:r>
      <w:r w:rsidR="00761F3B">
        <w:rPr>
          <w:rFonts w:ascii="Times New Roman" w:hAnsi="Times New Roman" w:cs="Times New Roman"/>
          <w:lang w:eastAsia="zh-CN"/>
        </w:rPr>
        <w:t xml:space="preserve"> </w:t>
      </w:r>
      <w:r w:rsidR="00972F8F">
        <w:rPr>
          <w:rFonts w:ascii="Times New Roman" w:hAnsi="Times New Roman" w:cs="Times New Roman"/>
          <w:lang w:eastAsia="zh-CN"/>
        </w:rPr>
        <w:t>T</w:t>
      </w:r>
      <w:r w:rsidR="00761F3B">
        <w:rPr>
          <w:rFonts w:ascii="Times New Roman" w:hAnsi="Times New Roman" w:cs="Times New Roman"/>
          <w:lang w:eastAsia="zh-CN"/>
        </w:rPr>
        <w:t xml:space="preserve">he three countries under study </w:t>
      </w:r>
      <w:r w:rsidR="00FB61AD">
        <w:rPr>
          <w:rFonts w:ascii="Times New Roman" w:hAnsi="Times New Roman" w:cs="Times New Roman"/>
          <w:lang w:eastAsia="zh-CN"/>
        </w:rPr>
        <w:t>have variation in their ballot structure: France and the U.K. have closed</w:t>
      </w:r>
      <w:r w:rsidR="00D1777F">
        <w:rPr>
          <w:rFonts w:ascii="Times New Roman" w:hAnsi="Times New Roman" w:cs="Times New Roman"/>
          <w:lang w:eastAsia="zh-CN"/>
        </w:rPr>
        <w:t xml:space="preserve"> and </w:t>
      </w:r>
      <w:r w:rsidR="00FB61AD">
        <w:rPr>
          <w:rFonts w:ascii="Times New Roman" w:hAnsi="Times New Roman" w:cs="Times New Roman"/>
          <w:lang w:eastAsia="zh-CN"/>
        </w:rPr>
        <w:t xml:space="preserve">party-based </w:t>
      </w:r>
      <w:r w:rsidR="00972F8F">
        <w:rPr>
          <w:rFonts w:ascii="Times New Roman" w:hAnsi="Times New Roman" w:cs="Times New Roman"/>
          <w:lang w:eastAsia="zh-CN"/>
        </w:rPr>
        <w:t>systems,</w:t>
      </w:r>
      <w:r w:rsidR="00D1777F">
        <w:rPr>
          <w:rFonts w:ascii="Times New Roman" w:hAnsi="Times New Roman" w:cs="Times New Roman"/>
          <w:lang w:eastAsia="zh-CN"/>
        </w:rPr>
        <w:t xml:space="preserve"> while Italy has a</w:t>
      </w:r>
      <w:r w:rsidR="00972F8F">
        <w:rPr>
          <w:rFonts w:ascii="Times New Roman" w:hAnsi="Times New Roman" w:cs="Times New Roman"/>
          <w:lang w:eastAsia="zh-CN"/>
        </w:rPr>
        <w:t xml:space="preserve"> mix of open and </w:t>
      </w:r>
      <w:r w:rsidR="00D1777F">
        <w:rPr>
          <w:rFonts w:ascii="Times New Roman" w:hAnsi="Times New Roman" w:cs="Times New Roman"/>
          <w:lang w:eastAsia="zh-CN"/>
        </w:rPr>
        <w:t>ordered list system</w:t>
      </w:r>
      <w:r w:rsidR="00972F8F">
        <w:rPr>
          <w:rFonts w:ascii="Times New Roman" w:hAnsi="Times New Roman" w:cs="Times New Roman"/>
          <w:lang w:eastAsia="zh-CN"/>
        </w:rPr>
        <w:t>s</w:t>
      </w:r>
      <w:r w:rsidR="00D1777F">
        <w:rPr>
          <w:rFonts w:ascii="Times New Roman" w:hAnsi="Times New Roman" w:cs="Times New Roman"/>
          <w:lang w:eastAsia="zh-CN"/>
        </w:rPr>
        <w:t>.</w:t>
      </w:r>
      <w:r w:rsidR="00972F8F">
        <w:rPr>
          <w:rFonts w:ascii="Times New Roman" w:hAnsi="Times New Roman" w:cs="Times New Roman"/>
          <w:lang w:eastAsia="zh-CN"/>
        </w:rPr>
        <w:t xml:space="preserve"> They conclude that candidates elected on open lists are much more responsive to their constituents than others stemming from party-based list, with a notable exception for the U.K., despite being on a closed list, the countries’ own parliamentary system and political culture have made British MEPs much more responsive to their constituents than others.</w:t>
      </w:r>
      <w:r w:rsidR="00231ACC">
        <w:rPr>
          <w:rFonts w:ascii="Times New Roman" w:hAnsi="Times New Roman" w:cs="Times New Roman"/>
          <w:lang w:eastAsia="zh-CN"/>
        </w:rPr>
        <w:t xml:space="preserve"> On the other hand, magnitude did not have a significant effect. However, Fa</w:t>
      </w:r>
      <w:r w:rsidR="00D3230B">
        <w:rPr>
          <w:rFonts w:ascii="Times New Roman" w:hAnsi="Times New Roman" w:cs="Times New Roman"/>
          <w:lang w:eastAsia="zh-CN"/>
        </w:rPr>
        <w:t>r</w:t>
      </w:r>
      <w:r w:rsidR="00231ACC">
        <w:rPr>
          <w:rFonts w:ascii="Times New Roman" w:hAnsi="Times New Roman" w:cs="Times New Roman"/>
          <w:lang w:eastAsia="zh-CN"/>
        </w:rPr>
        <w:t xml:space="preserve">rell and Scully </w:t>
      </w:r>
      <w:r w:rsidR="00D755B5">
        <w:rPr>
          <w:rFonts w:ascii="Times New Roman" w:hAnsi="Times New Roman" w:cs="Times New Roman"/>
          <w:lang w:eastAsia="zh-CN"/>
        </w:rPr>
        <w:t>use MEP survey questions as their dependent variable to assess how closely MEPs “care” about their constituents (how often the MEPs visits their constituents, whether they have offices in their constituencies and so forth).</w:t>
      </w:r>
      <w:r w:rsidR="00B7184F">
        <w:rPr>
          <w:rFonts w:ascii="Times New Roman" w:hAnsi="Times New Roman" w:cs="Times New Roman"/>
          <w:lang w:eastAsia="zh-CN"/>
        </w:rPr>
        <w:t xml:space="preserve"> </w:t>
      </w:r>
      <w:r w:rsidR="00D755B5">
        <w:rPr>
          <w:rFonts w:ascii="Times New Roman" w:hAnsi="Times New Roman" w:cs="Times New Roman"/>
          <w:lang w:eastAsia="zh-CN"/>
        </w:rPr>
        <w:t>While they do not seek to assess the relationship between voter preferences and voting behavior, their segmentation of electoral rules gives us useful clues to pursue our analysis.</w:t>
      </w:r>
    </w:p>
    <w:p w14:paraId="1F543364" w14:textId="5E184CE2" w:rsidR="00507E90" w:rsidRPr="00AF342E" w:rsidRDefault="0093463F" w:rsidP="00E568B4">
      <w:pPr>
        <w:pStyle w:val="NoSpacing"/>
        <w:spacing w:line="480" w:lineRule="auto"/>
        <w:ind w:firstLine="360"/>
        <w:rPr>
          <w:rFonts w:ascii="Times New Roman" w:hAnsi="Times New Roman" w:cs="Times New Roman"/>
          <w:lang w:eastAsia="zh-CN"/>
        </w:rPr>
      </w:pPr>
      <w:r>
        <w:rPr>
          <w:rFonts w:ascii="Times New Roman" w:hAnsi="Times New Roman" w:cs="Times New Roman"/>
          <w:lang w:eastAsia="zh-CN"/>
        </w:rPr>
        <w:t>Other lines of analysis have focused on other factors, such as</w:t>
      </w:r>
      <w:r w:rsidR="000743C1">
        <w:rPr>
          <w:rFonts w:ascii="Times New Roman" w:hAnsi="Times New Roman" w:cs="Times New Roman"/>
          <w:lang w:eastAsia="zh-CN"/>
        </w:rPr>
        <w:t xml:space="preserve"> </w:t>
      </w:r>
      <w:r w:rsidR="00A20D3B">
        <w:rPr>
          <w:rFonts w:ascii="Times New Roman" w:hAnsi="Times New Roman" w:cs="Times New Roman"/>
          <w:lang w:eastAsia="zh-CN"/>
        </w:rPr>
        <w:t>the</w:t>
      </w:r>
      <w:r w:rsidR="00EF75D2">
        <w:rPr>
          <w:rFonts w:ascii="Times New Roman" w:hAnsi="Times New Roman" w:cs="Times New Roman"/>
          <w:lang w:eastAsia="zh-CN"/>
        </w:rPr>
        <w:t xml:space="preserve"> role that political parties play in determining</w:t>
      </w:r>
      <w:r w:rsidR="00E568B4">
        <w:rPr>
          <w:rFonts w:ascii="Times New Roman" w:hAnsi="Times New Roman" w:cs="Times New Roman"/>
          <w:lang w:eastAsia="zh-CN"/>
        </w:rPr>
        <w:t xml:space="preserve"> </w:t>
      </w:r>
      <w:r w:rsidR="00EF75D2">
        <w:rPr>
          <w:rFonts w:ascii="Times New Roman" w:hAnsi="Times New Roman" w:cs="Times New Roman"/>
          <w:lang w:eastAsia="zh-CN"/>
        </w:rPr>
        <w:t xml:space="preserve">variation in representation at the EP. Marsh and Norris note that traditional </w:t>
      </w:r>
      <w:r w:rsidR="00563E45">
        <w:rPr>
          <w:rFonts w:ascii="Times New Roman" w:hAnsi="Times New Roman" w:cs="Times New Roman"/>
          <w:lang w:eastAsia="zh-CN"/>
        </w:rPr>
        <w:t>models of</w:t>
      </w:r>
      <w:r w:rsidR="00E568B4">
        <w:rPr>
          <w:rFonts w:ascii="Times New Roman" w:hAnsi="Times New Roman" w:cs="Times New Roman"/>
          <w:lang w:eastAsia="zh-CN"/>
        </w:rPr>
        <w:t xml:space="preserve"> </w:t>
      </w:r>
      <w:r w:rsidR="00563E45">
        <w:rPr>
          <w:rFonts w:ascii="Times New Roman" w:hAnsi="Times New Roman" w:cs="Times New Roman"/>
          <w:lang w:eastAsia="zh-CN"/>
        </w:rPr>
        <w:t xml:space="preserve">representation which focus on the “matching” between policy demand and supply lead </w:t>
      </w:r>
      <w:r w:rsidR="00563E45">
        <w:rPr>
          <w:rFonts w:ascii="Times New Roman" w:hAnsi="Times New Roman" w:cs="Times New Roman"/>
          <w:lang w:eastAsia="zh-CN"/>
        </w:rPr>
        <w:lastRenderedPageBreak/>
        <w:t>to the understanding of MEPs as representatives of their parties first and foremost.</w:t>
      </w:r>
      <w:r w:rsidR="00563E45">
        <w:rPr>
          <w:rStyle w:val="FootnoteReference"/>
          <w:rFonts w:ascii="Times New Roman" w:hAnsi="Times New Roman" w:cs="Times New Roman"/>
          <w:lang w:eastAsia="zh-CN"/>
        </w:rPr>
        <w:footnoteReference w:id="33"/>
      </w:r>
      <w:r w:rsidR="00E568B4">
        <w:rPr>
          <w:rFonts w:ascii="Times New Roman" w:hAnsi="Times New Roman" w:cs="Times New Roman"/>
          <w:lang w:eastAsia="zh-CN"/>
        </w:rPr>
        <w:t xml:space="preserve"> However, the reality is much different because political parties do not have concrete, policy-driven platforms. Furthermore, there is such a concentrated degree of elite consensus around certain issues, such as furthering European concentration and monetary policy that there is little variation amongst party level policy supply.</w:t>
      </w:r>
      <w:r w:rsidR="006B26FB">
        <w:rPr>
          <w:rFonts w:ascii="Times New Roman" w:hAnsi="Times New Roman" w:cs="Times New Roman"/>
          <w:lang w:eastAsia="zh-CN"/>
        </w:rPr>
        <w:t xml:space="preserve"> The authors conclude that </w:t>
      </w:r>
      <w:r w:rsidR="00C360A1">
        <w:rPr>
          <w:rFonts w:ascii="Times New Roman" w:hAnsi="Times New Roman" w:cs="Times New Roman"/>
          <w:lang w:eastAsia="zh-CN"/>
        </w:rPr>
        <w:t>there is effectively no linkage between the voters and MEPs, and this is reflected in the paltry turnouts at EP elections.</w:t>
      </w:r>
      <w:r>
        <w:rPr>
          <w:rFonts w:ascii="Times New Roman" w:hAnsi="Times New Roman" w:cs="Times New Roman"/>
          <w:lang w:eastAsia="zh-CN"/>
        </w:rPr>
        <w:t xml:space="preserve"> </w:t>
      </w:r>
    </w:p>
    <w:p w14:paraId="464AB5CE" w14:textId="77777777" w:rsidR="00AF342E" w:rsidRDefault="00AF342E" w:rsidP="00AF342E">
      <w:pPr>
        <w:pStyle w:val="NoSpacing"/>
        <w:rPr>
          <w:rFonts w:ascii="Times New Roman" w:hAnsi="Times New Roman" w:cs="Times New Roman"/>
          <w:sz w:val="22"/>
          <w:szCs w:val="22"/>
          <w:lang w:eastAsia="zh-CN"/>
        </w:rPr>
      </w:pPr>
    </w:p>
    <w:p w14:paraId="5FE04F8A" w14:textId="766DEB92" w:rsidR="00507E90" w:rsidRDefault="00507E90" w:rsidP="00507E90">
      <w:pPr>
        <w:pStyle w:val="NoSpacing"/>
        <w:spacing w:line="480" w:lineRule="auto"/>
        <w:rPr>
          <w:rFonts w:ascii="Times New Roman" w:hAnsi="Times New Roman" w:cs="Times New Roman"/>
          <w:lang w:eastAsia="zh-CN"/>
        </w:rPr>
      </w:pPr>
    </w:p>
    <w:p w14:paraId="63CD552F" w14:textId="7E44FE0E" w:rsidR="00A01611" w:rsidRDefault="00B44C6F" w:rsidP="00A01611">
      <w:pPr>
        <w:spacing w:line="480" w:lineRule="auto"/>
        <w:ind w:firstLine="360"/>
        <w:rPr>
          <w:rFonts w:ascii="Times New Roman" w:hAnsi="Times New Roman" w:cs="Times New Roman"/>
        </w:rPr>
      </w:pPr>
      <w:r>
        <w:rPr>
          <w:rFonts w:ascii="Times New Roman" w:hAnsi="Times New Roman" w:cs="Times New Roman"/>
        </w:rPr>
        <w:t>As such t</w:t>
      </w:r>
      <w:r w:rsidR="00A01611">
        <w:rPr>
          <w:rFonts w:ascii="Times New Roman" w:hAnsi="Times New Roman" w:cs="Times New Roman"/>
        </w:rPr>
        <w:t>his paper will</w:t>
      </w:r>
      <w:r w:rsidR="00A01611" w:rsidRPr="00E00D96">
        <w:rPr>
          <w:rFonts w:ascii="Times New Roman" w:hAnsi="Times New Roman" w:cs="Times New Roman"/>
        </w:rPr>
        <w:t xml:space="preserve"> </w:t>
      </w:r>
      <w:r w:rsidR="00A01611">
        <w:rPr>
          <w:rFonts w:ascii="Times New Roman" w:hAnsi="Times New Roman" w:cs="Times New Roman"/>
        </w:rPr>
        <w:t>fill substantive, geographical and methodological gaps around the democratic deficit and the modeling of public opinion and its relationship with elected official voting behavior.</w:t>
      </w:r>
      <w:r>
        <w:rPr>
          <w:rFonts w:ascii="Times New Roman" w:hAnsi="Times New Roman" w:cs="Times New Roman"/>
        </w:rPr>
        <w:t xml:space="preserve"> </w:t>
      </w:r>
      <w:r w:rsidR="00A679A4">
        <w:rPr>
          <w:rFonts w:ascii="Times New Roman" w:hAnsi="Times New Roman" w:cs="Times New Roman"/>
        </w:rPr>
        <w:t>In particular, it will shed additional light on</w:t>
      </w:r>
      <w:r w:rsidR="00A9138E">
        <w:rPr>
          <w:rFonts w:ascii="Times New Roman" w:hAnsi="Times New Roman" w:cs="Times New Roman"/>
        </w:rPr>
        <w:t xml:space="preserve"> patterns in</w:t>
      </w:r>
      <w:r w:rsidR="00EA7FFA">
        <w:rPr>
          <w:rFonts w:ascii="Times New Roman" w:hAnsi="Times New Roman" w:cs="Times New Roman"/>
        </w:rPr>
        <w:t xml:space="preserve"> constituency level preferences </w:t>
      </w:r>
      <w:r w:rsidR="00A9138E">
        <w:rPr>
          <w:rFonts w:ascii="Times New Roman" w:hAnsi="Times New Roman" w:cs="Times New Roman"/>
        </w:rPr>
        <w:t>regarding environmental regulation, and how MEPs vote</w:t>
      </w:r>
      <w:r w:rsidR="00C572D1">
        <w:rPr>
          <w:rFonts w:ascii="Times New Roman" w:hAnsi="Times New Roman" w:cs="Times New Roman"/>
        </w:rPr>
        <w:t xml:space="preserve"> in return.</w:t>
      </w:r>
    </w:p>
    <w:p w14:paraId="71F3440F" w14:textId="5749DF50" w:rsidR="00A01611" w:rsidRPr="00507E90" w:rsidRDefault="00A01611" w:rsidP="00A01611">
      <w:pPr>
        <w:pStyle w:val="NoSpacing"/>
        <w:spacing w:line="480" w:lineRule="auto"/>
        <w:ind w:left="360" w:hanging="360"/>
        <w:rPr>
          <w:rFonts w:ascii="Times New Roman" w:hAnsi="Times New Roman" w:cs="Times New Roman"/>
          <w:lang w:eastAsia="zh-CN"/>
        </w:rPr>
      </w:pPr>
    </w:p>
    <w:p w14:paraId="134B9A08" w14:textId="77777777" w:rsidR="00A32759" w:rsidRDefault="00A32759" w:rsidP="00A32759">
      <w:pPr>
        <w:pStyle w:val="NoSpacing"/>
        <w:rPr>
          <w:rFonts w:ascii="Times New Roman" w:hAnsi="Times New Roman" w:cs="Times New Roman"/>
          <w:sz w:val="22"/>
          <w:szCs w:val="22"/>
          <w:lang w:eastAsia="zh-CN"/>
        </w:rPr>
      </w:pPr>
    </w:p>
    <w:p w14:paraId="4FD5C791" w14:textId="77777777" w:rsidR="00850886" w:rsidRDefault="00850886" w:rsidP="00326F95">
      <w:pPr>
        <w:spacing w:line="480" w:lineRule="auto"/>
        <w:ind w:firstLine="360"/>
        <w:rPr>
          <w:rFonts w:ascii="Times New Roman" w:hAnsi="Times New Roman" w:cs="Times New Roman"/>
        </w:rPr>
      </w:pPr>
    </w:p>
    <w:p w14:paraId="69A9D284" w14:textId="2FEA79AD" w:rsidR="00A04393" w:rsidRDefault="00A04393" w:rsidP="00A04393">
      <w:pPr>
        <w:spacing w:line="480" w:lineRule="auto"/>
        <w:ind w:firstLine="360"/>
        <w:rPr>
          <w:rFonts w:ascii="Times New Roman" w:hAnsi="Times New Roman" w:cs="Times New Roman"/>
          <w:b/>
          <w:bCs/>
        </w:rPr>
      </w:pPr>
      <w:r>
        <w:rPr>
          <w:rFonts w:ascii="Times New Roman" w:hAnsi="Times New Roman" w:cs="Times New Roman"/>
          <w:b/>
          <w:bCs/>
        </w:rPr>
        <w:t>c. Hypothes</w:t>
      </w:r>
      <w:r w:rsidR="00EA0269">
        <w:rPr>
          <w:rFonts w:ascii="Times New Roman" w:hAnsi="Times New Roman" w:cs="Times New Roman"/>
          <w:b/>
          <w:bCs/>
        </w:rPr>
        <w:t>es</w:t>
      </w:r>
      <w:r>
        <w:rPr>
          <w:rFonts w:ascii="Times New Roman" w:hAnsi="Times New Roman" w:cs="Times New Roman"/>
          <w:b/>
          <w:bCs/>
        </w:rPr>
        <w:t>:</w:t>
      </w:r>
    </w:p>
    <w:p w14:paraId="6773B9A4" w14:textId="77777777" w:rsidR="00E4542B" w:rsidRDefault="00E4542B" w:rsidP="00E4542B">
      <w:pPr>
        <w:spacing w:line="480" w:lineRule="auto"/>
        <w:ind w:left="360" w:hanging="360"/>
        <w:rPr>
          <w:rFonts w:ascii="Times New Roman" w:hAnsi="Times New Roman" w:cs="Times New Roman"/>
        </w:rPr>
      </w:pPr>
      <w:r>
        <w:rPr>
          <w:rFonts w:ascii="Times New Roman" w:hAnsi="Times New Roman" w:cs="Times New Roman"/>
        </w:rPr>
        <w:tab/>
        <w:t>This paper will test the following two hypotheses that were identified as being plausible in</w:t>
      </w:r>
    </w:p>
    <w:p w14:paraId="32FDFAEE" w14:textId="4765C662" w:rsidR="00A04393" w:rsidRDefault="00E4542B" w:rsidP="00E4542B">
      <w:pPr>
        <w:spacing w:line="480" w:lineRule="auto"/>
        <w:ind w:left="360" w:hanging="360"/>
        <w:rPr>
          <w:rFonts w:ascii="Times New Roman" w:hAnsi="Times New Roman" w:cs="Times New Roman"/>
        </w:rPr>
      </w:pPr>
      <w:r>
        <w:rPr>
          <w:rFonts w:ascii="Times New Roman" w:hAnsi="Times New Roman" w:cs="Times New Roman"/>
        </w:rPr>
        <w:t>the literature review.</w:t>
      </w:r>
    </w:p>
    <w:p w14:paraId="5490424B" w14:textId="321DE47D" w:rsidR="00A04393" w:rsidRDefault="00A04393" w:rsidP="00A04393">
      <w:pPr>
        <w:spacing w:line="480" w:lineRule="auto"/>
        <w:rPr>
          <w:rFonts w:ascii="Times New Roman" w:hAnsi="Times New Roman" w:cs="Times New Roman"/>
          <w:i/>
          <w:iCs/>
        </w:rPr>
      </w:pPr>
      <w:r w:rsidRPr="0023666D">
        <w:rPr>
          <w:rFonts w:ascii="Times New Roman" w:hAnsi="Times New Roman" w:cs="Times New Roman"/>
          <w:i/>
          <w:iCs/>
        </w:rPr>
        <w:t>H</w:t>
      </w:r>
      <w:r w:rsidRPr="0023666D">
        <w:rPr>
          <w:rFonts w:ascii="Times New Roman" w:hAnsi="Times New Roman" w:cs="Times New Roman"/>
          <w:i/>
          <w:iCs/>
          <w:vertAlign w:val="subscript"/>
        </w:rPr>
        <w:t>0</w:t>
      </w:r>
      <w:r w:rsidRPr="0023666D">
        <w:rPr>
          <w:rFonts w:ascii="Times New Roman" w:hAnsi="Times New Roman" w:cs="Times New Roman"/>
          <w:i/>
          <w:iCs/>
        </w:rPr>
        <w:t>: There is a</w:t>
      </w:r>
      <w:r>
        <w:rPr>
          <w:rFonts w:ascii="Times New Roman" w:hAnsi="Times New Roman" w:cs="Times New Roman"/>
          <w:i/>
          <w:iCs/>
        </w:rPr>
        <w:t xml:space="preserve"> positive and</w:t>
      </w:r>
      <w:r w:rsidRPr="0023666D">
        <w:rPr>
          <w:rFonts w:ascii="Times New Roman" w:hAnsi="Times New Roman" w:cs="Times New Roman"/>
          <w:i/>
          <w:iCs/>
        </w:rPr>
        <w:t xml:space="preserve"> significant </w:t>
      </w:r>
      <w:r>
        <w:rPr>
          <w:rFonts w:ascii="Times New Roman" w:hAnsi="Times New Roman" w:cs="Times New Roman"/>
          <w:i/>
          <w:iCs/>
        </w:rPr>
        <w:t>relationship between voter preferences and MEP preferences.</w:t>
      </w:r>
    </w:p>
    <w:p w14:paraId="3FD34AD4" w14:textId="76CF1585" w:rsidR="00C42BBD" w:rsidRPr="00C42BBD" w:rsidRDefault="00C42BBD" w:rsidP="00A04393">
      <w:pPr>
        <w:spacing w:line="480" w:lineRule="auto"/>
        <w:rPr>
          <w:rFonts w:ascii="Times New Roman" w:hAnsi="Times New Roman" w:cs="Times New Roman"/>
        </w:rPr>
      </w:pPr>
      <w:r>
        <w:rPr>
          <w:rFonts w:ascii="Times New Roman" w:hAnsi="Times New Roman" w:cs="Times New Roman"/>
        </w:rPr>
        <w:t xml:space="preserve">First, we should expect </w:t>
      </w:r>
      <w:r w:rsidR="00457CE0">
        <w:rPr>
          <w:rFonts w:ascii="Times New Roman" w:hAnsi="Times New Roman" w:cs="Times New Roman"/>
        </w:rPr>
        <w:t xml:space="preserve">constituent level </w:t>
      </w:r>
      <w:r>
        <w:rPr>
          <w:rFonts w:ascii="Times New Roman" w:hAnsi="Times New Roman" w:cs="Times New Roman"/>
        </w:rPr>
        <w:t>voter preferences and MEP preferences to be positively correlated and statistically significant</w:t>
      </w:r>
      <w:r w:rsidR="00457CE0">
        <w:rPr>
          <w:rFonts w:ascii="Times New Roman" w:hAnsi="Times New Roman" w:cs="Times New Roman"/>
        </w:rPr>
        <w:t xml:space="preserve">. Although severe doubt has been cast on MEPs’ ability to </w:t>
      </w:r>
      <w:r w:rsidR="00457CE0">
        <w:rPr>
          <w:rFonts w:ascii="Times New Roman" w:hAnsi="Times New Roman" w:cs="Times New Roman"/>
        </w:rPr>
        <w:lastRenderedPageBreak/>
        <w:t>represent their constituents overall, previous research has shown a tendency for higher representation at regional levels.</w:t>
      </w:r>
    </w:p>
    <w:p w14:paraId="562D1FE8" w14:textId="1AAD6518" w:rsidR="006811F1" w:rsidRDefault="00972F8F" w:rsidP="00A04393">
      <w:pPr>
        <w:spacing w:line="480" w:lineRule="auto"/>
        <w:rPr>
          <w:rFonts w:ascii="Times New Roman" w:hAnsi="Times New Roman" w:cs="Times New Roman"/>
          <w:i/>
          <w:iCs/>
        </w:rPr>
      </w:pPr>
      <w:r>
        <w:rPr>
          <w:rFonts w:ascii="Times New Roman" w:hAnsi="Times New Roman" w:cs="Times New Roman"/>
          <w:i/>
          <w:iCs/>
        </w:rPr>
        <w:t>H</w:t>
      </w:r>
      <w:r w:rsidRPr="00972F8F">
        <w:rPr>
          <w:rFonts w:ascii="Times New Roman" w:hAnsi="Times New Roman" w:cs="Times New Roman"/>
          <w:i/>
          <w:iCs/>
          <w:vertAlign w:val="subscript"/>
        </w:rPr>
        <w:t>1</w:t>
      </w:r>
      <w:r>
        <w:rPr>
          <w:rFonts w:ascii="Times New Roman" w:hAnsi="Times New Roman" w:cs="Times New Roman"/>
          <w:i/>
          <w:iCs/>
        </w:rPr>
        <w:t xml:space="preserve">: </w:t>
      </w:r>
      <w:r w:rsidR="00CE6F50">
        <w:rPr>
          <w:rFonts w:ascii="Times New Roman" w:hAnsi="Times New Roman" w:cs="Times New Roman"/>
          <w:i/>
          <w:iCs/>
        </w:rPr>
        <w:t>Italy and the U.K. have a higher degree of positive correlation between voter preferences and MEP preferences than France does.</w:t>
      </w:r>
    </w:p>
    <w:p w14:paraId="090C1B52" w14:textId="1DF3125D" w:rsidR="00F13901" w:rsidRDefault="00F13901" w:rsidP="00A04393">
      <w:pPr>
        <w:spacing w:line="480" w:lineRule="auto"/>
        <w:rPr>
          <w:rFonts w:ascii="Times New Roman" w:hAnsi="Times New Roman" w:cs="Times New Roman"/>
        </w:rPr>
      </w:pPr>
      <w:r>
        <w:rPr>
          <w:rFonts w:ascii="Times New Roman" w:hAnsi="Times New Roman" w:cs="Times New Roman"/>
        </w:rPr>
        <w:t>As identified by Bowler and Farrell, Italy and the U.K. should have a higher degree of positive correlation between voter and MEP preferences, because Italy has an open and ordered electoral system which allows voters to choose and order candidates that are more likely to represent their interests, while the U.K. has a culture and tradition of political representation that has fostered deeper connections between MEPs and their constituents. On the other hand, France has a party-based and closed representation system, where voters are more likely to vote for MEPs representing parties they are ideologically aligned with</w:t>
      </w:r>
      <w:r w:rsidR="000666D5">
        <w:rPr>
          <w:rFonts w:ascii="Times New Roman" w:hAnsi="Times New Roman" w:cs="Times New Roman"/>
        </w:rPr>
        <w:t>.</w:t>
      </w:r>
      <w:r w:rsidR="0027503F">
        <w:rPr>
          <w:rStyle w:val="FootnoteReference"/>
          <w:rFonts w:ascii="Times New Roman" w:hAnsi="Times New Roman" w:cs="Times New Roman"/>
        </w:rPr>
        <w:footnoteReference w:id="34"/>
      </w:r>
    </w:p>
    <w:p w14:paraId="111437D4" w14:textId="77777777" w:rsidR="002E27F8" w:rsidRPr="00F13901" w:rsidRDefault="002E27F8" w:rsidP="00A04393">
      <w:pPr>
        <w:spacing w:line="480" w:lineRule="auto"/>
        <w:rPr>
          <w:rFonts w:ascii="Times New Roman" w:hAnsi="Times New Roman" w:cs="Times New Roman"/>
        </w:rPr>
      </w:pPr>
    </w:p>
    <w:p w14:paraId="1E73F874" w14:textId="702851FC" w:rsidR="000E6D71" w:rsidRDefault="00326F95" w:rsidP="00C703B7">
      <w:pPr>
        <w:spacing w:line="480" w:lineRule="auto"/>
        <w:ind w:firstLine="360"/>
        <w:rPr>
          <w:rFonts w:ascii="Times New Roman" w:hAnsi="Times New Roman" w:cs="Times New Roman"/>
          <w:b/>
          <w:bCs/>
        </w:rPr>
      </w:pPr>
      <w:r>
        <w:rPr>
          <w:rFonts w:ascii="Times New Roman" w:hAnsi="Times New Roman" w:cs="Times New Roman"/>
          <w:b/>
          <w:bCs/>
        </w:rPr>
        <w:t xml:space="preserve">III. Data and </w:t>
      </w:r>
      <w:r w:rsidR="00597355">
        <w:rPr>
          <w:rFonts w:ascii="Times New Roman" w:hAnsi="Times New Roman" w:cs="Times New Roman"/>
          <w:b/>
          <w:bCs/>
        </w:rPr>
        <w:t>Methodology</w:t>
      </w:r>
    </w:p>
    <w:p w14:paraId="55DE1972" w14:textId="77777777" w:rsidR="00955650" w:rsidRPr="00955650" w:rsidRDefault="00955650" w:rsidP="00C703B7">
      <w:pPr>
        <w:spacing w:line="480" w:lineRule="auto"/>
        <w:ind w:firstLine="360"/>
        <w:rPr>
          <w:rFonts w:ascii="Times New Roman" w:hAnsi="Times New Roman" w:cs="Times New Roman"/>
        </w:rPr>
      </w:pPr>
    </w:p>
    <w:p w14:paraId="425011DB" w14:textId="2AC8EF81" w:rsidR="00A33051" w:rsidRPr="00A33051" w:rsidRDefault="00A33051" w:rsidP="00A33051">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Fitting Survey response models</w:t>
      </w:r>
    </w:p>
    <w:p w14:paraId="0226CF15" w14:textId="4D7EDA36" w:rsidR="000A2B31" w:rsidRDefault="005E6203"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6C9A80C9" wp14:editId="0275EF15">
            <wp:extent cx="5943600" cy="425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168617B2" w14:textId="1D1A5755" w:rsidR="00BD515F" w:rsidRPr="00BD515F" w:rsidRDefault="00BD515F" w:rsidP="00C703B7">
      <w:pPr>
        <w:spacing w:line="480" w:lineRule="auto"/>
        <w:ind w:firstLine="360"/>
        <w:rPr>
          <w:rFonts w:ascii="Times New Roman" w:hAnsi="Times New Roman" w:cs="Times New Roman"/>
        </w:rPr>
      </w:pPr>
      <w:r>
        <w:rPr>
          <w:rFonts w:ascii="Times New Roman" w:hAnsi="Times New Roman" w:cs="Times New Roman"/>
        </w:rPr>
        <w:t>With:</w:t>
      </w:r>
    </w:p>
    <w:p w14:paraId="1AEC1B4C" w14:textId="20F234A2" w:rsidR="005E6203" w:rsidRDefault="00BD515F"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06D9E0E1" wp14:editId="47A40963">
            <wp:extent cx="3422931" cy="8577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601634" cy="902497"/>
                    </a:xfrm>
                    <a:prstGeom prst="rect">
                      <a:avLst/>
                    </a:prstGeom>
                  </pic:spPr>
                </pic:pic>
              </a:graphicData>
            </a:graphic>
          </wp:inline>
        </w:drawing>
      </w:r>
    </w:p>
    <w:p w14:paraId="41690A29" w14:textId="12F2F930" w:rsidR="006B5953" w:rsidRDefault="000A2B31" w:rsidP="005D38C1">
      <w:pPr>
        <w:pStyle w:val="NormalWeb"/>
        <w:spacing w:line="480" w:lineRule="auto"/>
        <w:ind w:firstLine="360"/>
      </w:pPr>
      <w:r w:rsidRPr="00511D94">
        <w:lastRenderedPageBreak/>
        <w:t xml:space="preserve">After conducting the preference estimation using MRP, the second step of the analysis will be to correlate them with roll call votes at the E.U. Parliament. </w:t>
      </w:r>
    </w:p>
    <w:p w14:paraId="7169218D" w14:textId="3F9D3E7E" w:rsidR="00911C84" w:rsidRPr="00911C84" w:rsidRDefault="00911C84" w:rsidP="00911C84">
      <w:pPr>
        <w:pStyle w:val="NormalWeb"/>
        <w:numPr>
          <w:ilvl w:val="0"/>
          <w:numId w:val="4"/>
        </w:numPr>
        <w:spacing w:line="480" w:lineRule="auto"/>
        <w:rPr>
          <w:b/>
          <w:bCs/>
        </w:rPr>
      </w:pPr>
      <w:r>
        <w:rPr>
          <w:b/>
          <w:bCs/>
        </w:rPr>
        <w:t>Poststratification</w:t>
      </w:r>
    </w:p>
    <w:p w14:paraId="3F7E7785" w14:textId="7044DC72" w:rsidR="006B5953" w:rsidRDefault="006811F1" w:rsidP="006B5953">
      <w:pPr>
        <w:spacing w:line="480" w:lineRule="auto"/>
        <w:rPr>
          <w:rFonts w:ascii="Times New Roman" w:hAnsi="Times New Roman" w:cs="Times New Roman"/>
          <w:b/>
          <w:bCs/>
        </w:rPr>
      </w:pPr>
      <w:r>
        <w:rPr>
          <w:rFonts w:ascii="Times New Roman" w:hAnsi="Times New Roman" w:cs="Times New Roman"/>
          <w:b/>
          <w:bCs/>
        </w:rPr>
        <w:t xml:space="preserve">IV. </w:t>
      </w:r>
      <w:r w:rsidR="006B5953">
        <w:rPr>
          <w:rFonts w:ascii="Times New Roman" w:hAnsi="Times New Roman" w:cs="Times New Roman"/>
          <w:b/>
          <w:bCs/>
        </w:rPr>
        <w:t>Results</w:t>
      </w:r>
    </w:p>
    <w:p w14:paraId="518FB257" w14:textId="2FB8C860" w:rsidR="00E56E06" w:rsidRDefault="00E64799" w:rsidP="006B5953">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5EEBD102" wp14:editId="7218724F">
            <wp:extent cx="4483100" cy="567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4483100" cy="5676900"/>
                    </a:xfrm>
                    <a:prstGeom prst="rect">
                      <a:avLst/>
                    </a:prstGeom>
                  </pic:spPr>
                </pic:pic>
              </a:graphicData>
            </a:graphic>
          </wp:inline>
        </w:drawing>
      </w:r>
    </w:p>
    <w:p w14:paraId="1E77215C" w14:textId="27A9E71F" w:rsidR="005D38C1" w:rsidRDefault="006A5DC4" w:rsidP="00E56E06">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C14513A" wp14:editId="59ED9A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E49210" w14:textId="77777777" w:rsidR="00E56E06" w:rsidRDefault="00E56E06" w:rsidP="00E56E06">
      <w:pPr>
        <w:spacing w:line="480" w:lineRule="auto"/>
        <w:jc w:val="center"/>
        <w:rPr>
          <w:rFonts w:ascii="Times New Roman" w:hAnsi="Times New Roman" w:cs="Times New Roman"/>
          <w:b/>
          <w:bCs/>
        </w:rPr>
      </w:pPr>
    </w:p>
    <w:p w14:paraId="6429EF8A" w14:textId="3CBE2C8C" w:rsidR="005D38C1" w:rsidRDefault="009B0F99"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6BFCF6C" wp14:editId="626FD3A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C38207" w14:textId="4A909B80" w:rsidR="00BF2CB3" w:rsidRDefault="00BF2CB3"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9D21F36" wp14:editId="7ECB6A92">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AA6640" w14:textId="524FA146" w:rsidR="00AD32E6" w:rsidRDefault="00AD32E6"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41F10828" wp14:editId="2F414CA2">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EAE820" w14:textId="77777777" w:rsidR="00AA2DE8" w:rsidRPr="00597355" w:rsidRDefault="00AA2DE8" w:rsidP="006B5953">
      <w:pPr>
        <w:spacing w:line="480" w:lineRule="auto"/>
        <w:rPr>
          <w:rFonts w:ascii="Times New Roman" w:hAnsi="Times New Roman" w:cs="Times New Roman"/>
          <w:b/>
          <w:bCs/>
        </w:rPr>
      </w:pPr>
    </w:p>
    <w:p w14:paraId="71BBEFE5" w14:textId="14C1B12E" w:rsidR="006B5953" w:rsidRDefault="001C139D" w:rsidP="006B5953">
      <w:pPr>
        <w:rPr>
          <w:rFonts w:ascii="Times New Roman" w:hAnsi="Times New Roman" w:cs="Times New Roman"/>
          <w:b/>
          <w:bCs/>
        </w:rPr>
      </w:pPr>
      <w:r>
        <w:rPr>
          <w:rFonts w:ascii="Times New Roman" w:hAnsi="Times New Roman" w:cs="Times New Roman"/>
          <w:b/>
          <w:bCs/>
        </w:rPr>
        <w:t xml:space="preserve">V. </w:t>
      </w:r>
      <w:r w:rsidR="006B5953">
        <w:rPr>
          <w:rFonts w:ascii="Times New Roman" w:hAnsi="Times New Roman" w:cs="Times New Roman"/>
          <w:b/>
          <w:bCs/>
        </w:rPr>
        <w:t>Discussion / Caveats</w:t>
      </w:r>
    </w:p>
    <w:p w14:paraId="50F8DD85" w14:textId="7657125A" w:rsidR="004A2A90" w:rsidRDefault="004A2A90" w:rsidP="006B5953">
      <w:pPr>
        <w:rPr>
          <w:rFonts w:ascii="Times New Roman" w:hAnsi="Times New Roman" w:cs="Times New Roman"/>
          <w:b/>
          <w:bCs/>
        </w:rPr>
      </w:pPr>
    </w:p>
    <w:p w14:paraId="0567FB23" w14:textId="104D5159" w:rsidR="004A2A90" w:rsidRDefault="004A2A90" w:rsidP="006B5953">
      <w:pPr>
        <w:rPr>
          <w:rFonts w:ascii="Times New Roman" w:hAnsi="Times New Roman" w:cs="Times New Roman"/>
        </w:rPr>
      </w:pPr>
      <w:r>
        <w:rPr>
          <w:rFonts w:ascii="Times New Roman" w:hAnsi="Times New Roman" w:cs="Times New Roman"/>
        </w:rPr>
        <w:t>Caveats:</w:t>
      </w:r>
    </w:p>
    <w:p w14:paraId="01367DDB" w14:textId="6A4C6782" w:rsidR="00D37854" w:rsidRPr="00D37854" w:rsidRDefault="00D37854" w:rsidP="00D37854">
      <w:pPr>
        <w:pStyle w:val="ListParagraph"/>
        <w:numPr>
          <w:ilvl w:val="0"/>
          <w:numId w:val="3"/>
        </w:numPr>
        <w:rPr>
          <w:rFonts w:ascii="Times New Roman" w:hAnsi="Times New Roman" w:cs="Times New Roman"/>
        </w:rPr>
      </w:pPr>
      <w:r w:rsidRPr="00D37854">
        <w:rPr>
          <w:rFonts w:ascii="Times New Roman" w:hAnsi="Times New Roman" w:cs="Times New Roman"/>
        </w:rPr>
        <w:t>Methodological</w:t>
      </w:r>
    </w:p>
    <w:p w14:paraId="36E51AE0" w14:textId="6BDFBD15"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Questions don’t necessarily == policy – will benefit from IRT</w:t>
      </w:r>
    </w:p>
    <w:p w14:paraId="0165CB77" w14:textId="4704AE3D"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Uneven questions asked, not same questions every survey</w:t>
      </w:r>
    </w:p>
    <w:p w14:paraId="2E2E385B" w14:textId="5CC46AA8"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Other policy areas?</w:t>
      </w:r>
    </w:p>
    <w:p w14:paraId="763CA68A" w14:textId="29D2CA98" w:rsidR="00BF2CB3" w:rsidRDefault="00BF2CB3" w:rsidP="00D37854">
      <w:pPr>
        <w:pStyle w:val="ListParagraph"/>
        <w:numPr>
          <w:ilvl w:val="1"/>
          <w:numId w:val="3"/>
        </w:numPr>
        <w:rPr>
          <w:rFonts w:ascii="Times New Roman" w:hAnsi="Times New Roman" w:cs="Times New Roman"/>
        </w:rPr>
      </w:pPr>
      <w:r>
        <w:rPr>
          <w:rFonts w:ascii="Times New Roman" w:hAnsi="Times New Roman" w:cs="Times New Roman"/>
        </w:rPr>
        <w:t>Using past election results at the regional level as a constituent level predictor</w:t>
      </w:r>
    </w:p>
    <w:p w14:paraId="16B2DFD8" w14:textId="60CA2074" w:rsidR="00401AC2" w:rsidRDefault="00401AC2" w:rsidP="00D37854">
      <w:pPr>
        <w:pStyle w:val="ListParagraph"/>
        <w:numPr>
          <w:ilvl w:val="1"/>
          <w:numId w:val="3"/>
        </w:numPr>
        <w:rPr>
          <w:rFonts w:ascii="Times New Roman" w:hAnsi="Times New Roman" w:cs="Times New Roman"/>
        </w:rPr>
      </w:pPr>
      <w:r>
        <w:rPr>
          <w:rFonts w:ascii="Times New Roman" w:hAnsi="Times New Roman" w:cs="Times New Roman"/>
        </w:rPr>
        <w:t>Using respondent PID</w:t>
      </w:r>
    </w:p>
    <w:p w14:paraId="454BE951" w14:textId="40A175ED" w:rsidR="00A5071C" w:rsidRPr="004A2A90" w:rsidRDefault="00A5071C" w:rsidP="00D37854">
      <w:pPr>
        <w:pStyle w:val="ListParagraph"/>
        <w:numPr>
          <w:ilvl w:val="1"/>
          <w:numId w:val="3"/>
        </w:numPr>
        <w:rPr>
          <w:rFonts w:ascii="Times New Roman" w:hAnsi="Times New Roman" w:cs="Times New Roman"/>
        </w:rPr>
      </w:pPr>
      <w:r>
        <w:rPr>
          <w:rFonts w:ascii="Times New Roman" w:hAnsi="Times New Roman" w:cs="Times New Roman"/>
        </w:rPr>
        <w:lastRenderedPageBreak/>
        <w:t>Amendment structure</w:t>
      </w:r>
    </w:p>
    <w:p w14:paraId="51EF2870" w14:textId="3DD8E7EF" w:rsidR="006B5953" w:rsidRDefault="00D37854" w:rsidP="00D37854">
      <w:pPr>
        <w:pStyle w:val="ListParagraph"/>
        <w:numPr>
          <w:ilvl w:val="0"/>
          <w:numId w:val="3"/>
        </w:numPr>
        <w:rPr>
          <w:rFonts w:ascii="Times New Roman" w:hAnsi="Times New Roman" w:cs="Times New Roman"/>
        </w:rPr>
      </w:pPr>
      <w:r w:rsidRPr="00D37854">
        <w:rPr>
          <w:rFonts w:ascii="Times New Roman" w:hAnsi="Times New Roman" w:cs="Times New Roman"/>
        </w:rPr>
        <w:t>Substantive</w:t>
      </w:r>
    </w:p>
    <w:p w14:paraId="45467E83" w14:textId="0A6D0C2F" w:rsidR="00D37854" w:rsidRDefault="00D37854" w:rsidP="00D37854">
      <w:pPr>
        <w:pStyle w:val="ListParagraph"/>
        <w:numPr>
          <w:ilvl w:val="1"/>
          <w:numId w:val="3"/>
        </w:numPr>
        <w:rPr>
          <w:rFonts w:ascii="Times New Roman" w:hAnsi="Times New Roman" w:cs="Times New Roman"/>
        </w:rPr>
      </w:pPr>
      <w:r>
        <w:rPr>
          <w:rFonts w:ascii="Times New Roman" w:hAnsi="Times New Roman" w:cs="Times New Roman"/>
        </w:rPr>
        <w:t>Might not even be EP’s primary function</w:t>
      </w:r>
    </w:p>
    <w:p w14:paraId="14790C64" w14:textId="7D0E677A" w:rsidR="007C241E" w:rsidRPr="00D37854" w:rsidRDefault="007C241E" w:rsidP="00D37854">
      <w:pPr>
        <w:pStyle w:val="ListParagraph"/>
        <w:numPr>
          <w:ilvl w:val="1"/>
          <w:numId w:val="3"/>
        </w:numPr>
        <w:rPr>
          <w:rFonts w:ascii="Times New Roman" w:hAnsi="Times New Roman" w:cs="Times New Roman"/>
        </w:rPr>
      </w:pPr>
      <w:r>
        <w:rPr>
          <w:rFonts w:ascii="Times New Roman" w:hAnsi="Times New Roman" w:cs="Times New Roman"/>
        </w:rPr>
        <w:t>Issue salience: how does the environment weights when electing officials compared to other policy areas?</w:t>
      </w:r>
    </w:p>
    <w:p w14:paraId="52D3F215" w14:textId="77777777" w:rsidR="00D37854" w:rsidRDefault="00D37854" w:rsidP="006B5953">
      <w:pPr>
        <w:rPr>
          <w:rFonts w:ascii="Times New Roman" w:hAnsi="Times New Roman" w:cs="Times New Roman"/>
          <w:b/>
          <w:bCs/>
        </w:rPr>
      </w:pPr>
    </w:p>
    <w:p w14:paraId="5EEF4174" w14:textId="40D74D5D" w:rsidR="006B5953" w:rsidRPr="00597355" w:rsidRDefault="001C139D" w:rsidP="006B5953">
      <w:pPr>
        <w:rPr>
          <w:b/>
          <w:bCs/>
        </w:rPr>
      </w:pPr>
      <w:r>
        <w:rPr>
          <w:rFonts w:ascii="Times New Roman" w:hAnsi="Times New Roman" w:cs="Times New Roman"/>
          <w:b/>
          <w:bCs/>
        </w:rPr>
        <w:t xml:space="preserve">VI. </w:t>
      </w:r>
      <w:r w:rsidR="006B5953">
        <w:rPr>
          <w:rFonts w:ascii="Times New Roman" w:hAnsi="Times New Roman" w:cs="Times New Roman"/>
          <w:b/>
          <w:bCs/>
        </w:rPr>
        <w:t>Conclusion</w:t>
      </w:r>
    </w:p>
    <w:p w14:paraId="2189D35E" w14:textId="77777777" w:rsidR="006B5953" w:rsidRDefault="006B5953" w:rsidP="000A2B31">
      <w:pPr>
        <w:pStyle w:val="NormalWeb"/>
        <w:spacing w:line="480" w:lineRule="auto"/>
        <w:ind w:firstLine="360"/>
      </w:pPr>
    </w:p>
    <w:p w14:paraId="57B37E17" w14:textId="1BF9248E" w:rsidR="006B5953" w:rsidRDefault="006B5953" w:rsidP="000A2B31">
      <w:pPr>
        <w:pStyle w:val="NormalWeb"/>
        <w:spacing w:line="480" w:lineRule="auto"/>
        <w:ind w:firstLine="360"/>
      </w:pPr>
    </w:p>
    <w:p w14:paraId="3FFC1A27" w14:textId="45841758" w:rsidR="006B5953" w:rsidRDefault="006B5953" w:rsidP="000A2B31">
      <w:pPr>
        <w:pStyle w:val="NormalWeb"/>
        <w:spacing w:line="480" w:lineRule="auto"/>
        <w:ind w:firstLine="360"/>
      </w:pPr>
    </w:p>
    <w:p w14:paraId="77806840" w14:textId="142C64ED" w:rsidR="006B5953" w:rsidRDefault="006B5953" w:rsidP="000A2B31">
      <w:pPr>
        <w:pStyle w:val="NormalWeb"/>
        <w:spacing w:line="480" w:lineRule="auto"/>
        <w:ind w:firstLine="360"/>
      </w:pPr>
    </w:p>
    <w:p w14:paraId="06288D60" w14:textId="5CC454F8" w:rsidR="006B5953" w:rsidRDefault="006B5953" w:rsidP="000A2B31">
      <w:pPr>
        <w:pStyle w:val="NormalWeb"/>
        <w:spacing w:line="480" w:lineRule="auto"/>
        <w:ind w:firstLine="360"/>
      </w:pPr>
    </w:p>
    <w:p w14:paraId="72FC97AA" w14:textId="5F535256" w:rsidR="006B5953" w:rsidRDefault="006B5953" w:rsidP="000A2B31">
      <w:pPr>
        <w:pStyle w:val="NormalWeb"/>
        <w:spacing w:line="480" w:lineRule="auto"/>
        <w:ind w:firstLine="360"/>
      </w:pPr>
    </w:p>
    <w:p w14:paraId="1A8A9791" w14:textId="51E565D9" w:rsidR="006B5953" w:rsidRDefault="006B5953" w:rsidP="000A2B31">
      <w:pPr>
        <w:pStyle w:val="NormalWeb"/>
        <w:spacing w:line="480" w:lineRule="auto"/>
        <w:ind w:firstLine="360"/>
      </w:pPr>
    </w:p>
    <w:p w14:paraId="68811D4E" w14:textId="3C4E339F" w:rsidR="006B5953" w:rsidRDefault="006B5953" w:rsidP="000A2B31">
      <w:pPr>
        <w:pStyle w:val="NormalWeb"/>
        <w:spacing w:line="480" w:lineRule="auto"/>
        <w:ind w:firstLine="360"/>
      </w:pPr>
    </w:p>
    <w:p w14:paraId="1F1F1F06" w14:textId="07F5EEDE" w:rsidR="006B5953" w:rsidRDefault="006B5953" w:rsidP="000A2B31">
      <w:pPr>
        <w:pStyle w:val="NormalWeb"/>
        <w:spacing w:line="480" w:lineRule="auto"/>
        <w:ind w:firstLine="360"/>
      </w:pPr>
    </w:p>
    <w:p w14:paraId="00D96B48" w14:textId="2FF55836" w:rsidR="006B5953" w:rsidRDefault="006B5953" w:rsidP="000A2B31">
      <w:pPr>
        <w:pStyle w:val="NormalWeb"/>
        <w:spacing w:line="480" w:lineRule="auto"/>
        <w:ind w:firstLine="360"/>
      </w:pPr>
    </w:p>
    <w:p w14:paraId="7245EC27" w14:textId="7F818605" w:rsidR="006B5953" w:rsidRDefault="006B5953" w:rsidP="000A2B31">
      <w:pPr>
        <w:pStyle w:val="NormalWeb"/>
        <w:spacing w:line="480" w:lineRule="auto"/>
        <w:ind w:firstLine="360"/>
      </w:pPr>
    </w:p>
    <w:p w14:paraId="26FF5AFD" w14:textId="2D52686A" w:rsidR="006B5953" w:rsidRDefault="006B5953" w:rsidP="000A2B31">
      <w:pPr>
        <w:pStyle w:val="NormalWeb"/>
        <w:spacing w:line="480" w:lineRule="auto"/>
        <w:ind w:firstLine="360"/>
      </w:pPr>
    </w:p>
    <w:p w14:paraId="4D7C6F71" w14:textId="28DD12CE" w:rsidR="006B5953" w:rsidRDefault="006B5953" w:rsidP="000A2B31">
      <w:pPr>
        <w:pStyle w:val="NormalWeb"/>
        <w:spacing w:line="480" w:lineRule="auto"/>
        <w:ind w:firstLine="360"/>
      </w:pPr>
    </w:p>
    <w:p w14:paraId="44272168" w14:textId="2F4496F4" w:rsidR="00471BA8" w:rsidRDefault="00471BA8" w:rsidP="000A2B31">
      <w:pPr>
        <w:pStyle w:val="NormalWeb"/>
        <w:spacing w:line="480" w:lineRule="auto"/>
        <w:ind w:firstLine="360"/>
      </w:pPr>
    </w:p>
    <w:p w14:paraId="755FD119" w14:textId="77E5B0B4" w:rsidR="00471BA8" w:rsidRDefault="00471BA8" w:rsidP="000A2B31">
      <w:pPr>
        <w:pStyle w:val="NormalWeb"/>
        <w:spacing w:line="480" w:lineRule="auto"/>
        <w:ind w:firstLine="360"/>
      </w:pPr>
    </w:p>
    <w:p w14:paraId="41B8D6B6" w14:textId="6B11DE8E" w:rsidR="00471BA8" w:rsidRDefault="00471BA8" w:rsidP="000A2B31">
      <w:pPr>
        <w:pStyle w:val="NormalWeb"/>
        <w:spacing w:line="480" w:lineRule="auto"/>
        <w:ind w:firstLine="360"/>
      </w:pPr>
    </w:p>
    <w:p w14:paraId="2793D0A5" w14:textId="6CB80283" w:rsidR="00471BA8" w:rsidRDefault="00471BA8" w:rsidP="000A2B31">
      <w:pPr>
        <w:pStyle w:val="NormalWeb"/>
        <w:spacing w:line="480" w:lineRule="auto"/>
        <w:ind w:firstLine="360"/>
      </w:pPr>
    </w:p>
    <w:p w14:paraId="6A453ABF" w14:textId="77777777" w:rsidR="00471BA8" w:rsidRDefault="00471BA8" w:rsidP="000A2B31">
      <w:pPr>
        <w:pStyle w:val="NormalWeb"/>
        <w:spacing w:line="480" w:lineRule="auto"/>
        <w:ind w:firstLine="360"/>
      </w:pPr>
    </w:p>
    <w:p w14:paraId="19728E66" w14:textId="082E63C7" w:rsidR="006B5953" w:rsidRPr="004A2A90" w:rsidRDefault="006B5953" w:rsidP="004A2A90">
      <w:pPr>
        <w:pStyle w:val="NormalWeb"/>
        <w:spacing w:line="480" w:lineRule="auto"/>
        <w:ind w:firstLine="360"/>
        <w:jc w:val="center"/>
        <w:rPr>
          <w:b/>
          <w:bCs/>
        </w:rPr>
      </w:pPr>
      <w:r>
        <w:rPr>
          <w:b/>
          <w:bCs/>
        </w:rPr>
        <w:t>ANNEX: DATA SOURCES AND MODEL CONSTRUCTION</w:t>
      </w:r>
    </w:p>
    <w:p w14:paraId="228E8C1A" w14:textId="77777777" w:rsidR="000A2B31"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Survey data for the target countries</w:t>
      </w:r>
      <w:r>
        <w:rPr>
          <w:rFonts w:ascii="Times New Roman" w:hAnsi="Times New Roman" w:cs="Times New Roman"/>
        </w:rPr>
        <w:t xml:space="preserve"> (preference estimation)</w:t>
      </w:r>
    </w:p>
    <w:p w14:paraId="51A178BE" w14:textId="77777777" w:rsidR="000A2B31" w:rsidRDefault="000A2B31" w:rsidP="000A2B31">
      <w:pPr>
        <w:spacing w:line="480" w:lineRule="auto"/>
        <w:rPr>
          <w:rFonts w:ascii="Times New Roman" w:hAnsi="Times New Roman" w:cs="Times New Roman"/>
        </w:rPr>
      </w:pPr>
    </w:p>
    <w:p w14:paraId="3AA1ECD0"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The survey data will mainly come from Eurobarometer. </w:t>
      </w:r>
    </w:p>
    <w:p w14:paraId="7106AE98"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The Flash Eurobarometer surveys have a lot of survey questions about special subjects (the environment, EU integration, LQBTQ+ policies etc.). </w:t>
      </w:r>
      <w:hyperlink r:id="rId16" w:history="1">
        <w:r w:rsidRPr="00333FFD">
          <w:rPr>
            <w:rStyle w:val="Hyperlink"/>
            <w:rFonts w:ascii="Times New Roman" w:hAnsi="Times New Roman" w:cs="Times New Roman"/>
          </w:rPr>
          <w:t>https://www.gesis.org/en/eurobarometer-data-service/survey-series/flash-eb</w:t>
        </w:r>
      </w:hyperlink>
    </w:p>
    <w:p w14:paraId="2864DE8D"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Regular Eurobarometer polls also have the advantage of including data at the NUTS3 subnational unit, which will be invaluable to cross-validate the preferences obtained via MRP (by comparing MRP and disaggregated preferences). </w:t>
      </w:r>
    </w:p>
    <w:p w14:paraId="40BA9F44" w14:textId="77777777" w:rsidR="000A2B31" w:rsidRDefault="000A2B31" w:rsidP="000A2B31">
      <w:pPr>
        <w:spacing w:line="480" w:lineRule="auto"/>
        <w:rPr>
          <w:rFonts w:ascii="Times New Roman" w:hAnsi="Times New Roman" w:cs="Times New Roman"/>
          <w:lang w:eastAsia="zh-CN"/>
        </w:rPr>
      </w:pPr>
      <w:r>
        <w:rPr>
          <w:rFonts w:ascii="Times New Roman" w:hAnsi="Times New Roman" w:cs="Times New Roman"/>
        </w:rPr>
        <w:t xml:space="preserve">A list of all previous Eurobarometer reports can be found here: </w:t>
      </w:r>
      <w:hyperlink r:id="rId17" w:history="1">
        <w:r w:rsidRPr="00333FFD">
          <w:rPr>
            <w:rStyle w:val="Hyperlink"/>
            <w:rFonts w:ascii="Times New Roman" w:hAnsi="Times New Roman" w:cs="Times New Roman"/>
          </w:rPr>
          <w:t>https://dbk.gesis.org/dbksearch/gdesc2.asp?no=0008&amp;search=&amp;search2=&amp;db=e&amp;tab=0&amp;notabs=&amp;nf=1&amp;af=&amp;ll=10</w:t>
        </w:r>
      </w:hyperlink>
    </w:p>
    <w:p w14:paraId="527CB796" w14:textId="77777777" w:rsidR="000A2B31" w:rsidRDefault="000A2B31" w:rsidP="000A2B31">
      <w:pPr>
        <w:ind w:left="360"/>
        <w:rPr>
          <w:rFonts w:ascii="Times New Roman" w:hAnsi="Times New Roman" w:cs="Times New Roman"/>
        </w:rPr>
      </w:pPr>
    </w:p>
    <w:p w14:paraId="159BE510"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 xml:space="preserve">There are many different datasets spanning the recent years, but my analysis will probably focus on surveys conducted in the 2010s. Eurobarometer polls are known for being rigorously </w:t>
      </w:r>
      <w:r>
        <w:rPr>
          <w:rFonts w:ascii="Times New Roman" w:hAnsi="Times New Roman" w:cs="Times New Roman"/>
        </w:rPr>
        <w:lastRenderedPageBreak/>
        <w:t xml:space="preserve">constructed and have often been used in the literature I have </w:t>
      </w:r>
      <w:proofErr w:type="gramStart"/>
      <w:r>
        <w:rPr>
          <w:rFonts w:ascii="Times New Roman" w:hAnsi="Times New Roman" w:cs="Times New Roman"/>
        </w:rPr>
        <w:t>reviewed,</w:t>
      </w:r>
      <w:proofErr w:type="gramEnd"/>
      <w:r>
        <w:rPr>
          <w:rFonts w:ascii="Times New Roman" w:hAnsi="Times New Roman" w:cs="Times New Roman"/>
        </w:rPr>
        <w:t xml:space="preserve"> therefore I don’t anticipate sampling or missing data to be major issues. All Eurobarometer polls have an adequate </w:t>
      </w:r>
      <w:proofErr w:type="gramStart"/>
      <w:r>
        <w:rPr>
          <w:rFonts w:ascii="Times New Roman" w:hAnsi="Times New Roman" w:cs="Times New Roman"/>
        </w:rPr>
        <w:t>amount</w:t>
      </w:r>
      <w:proofErr w:type="gramEnd"/>
      <w:r>
        <w:rPr>
          <w:rFonts w:ascii="Times New Roman" w:hAnsi="Times New Roman" w:cs="Times New Roman"/>
        </w:rPr>
        <w:t xml:space="preserve"> of respondents for the countries I am interested in working with, and there is always the possibility of aggregating different polls to facilitate preference estimation.</w:t>
      </w:r>
    </w:p>
    <w:p w14:paraId="18AF5C0D" w14:textId="77777777" w:rsidR="000A2B31" w:rsidRDefault="000A2B31" w:rsidP="000A2B31">
      <w:pPr>
        <w:ind w:left="360"/>
        <w:rPr>
          <w:rFonts w:ascii="Times New Roman" w:hAnsi="Times New Roman" w:cs="Times New Roman"/>
        </w:rPr>
      </w:pPr>
    </w:p>
    <w:p w14:paraId="1A6B0BE8" w14:textId="77777777" w:rsidR="000A2B31" w:rsidRPr="0039195E" w:rsidRDefault="000A2B31" w:rsidP="000A2B31">
      <w:pPr>
        <w:ind w:left="360"/>
        <w:rPr>
          <w:rFonts w:ascii="Times New Roman" w:hAnsi="Times New Roman" w:cs="Times New Roman"/>
        </w:rPr>
      </w:pPr>
    </w:p>
    <w:p w14:paraId="17B48B11" w14:textId="77777777" w:rsidR="000A2B31" w:rsidRPr="0039195E"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 xml:space="preserve">Census data (for </w:t>
      </w:r>
      <w:proofErr w:type="spellStart"/>
      <w:r>
        <w:rPr>
          <w:rFonts w:ascii="Times New Roman" w:hAnsi="Times New Roman" w:cs="Times New Roman"/>
          <w:b/>
          <w:bCs/>
        </w:rPr>
        <w:t>postratification</w:t>
      </w:r>
      <w:proofErr w:type="spellEnd"/>
      <w:r>
        <w:rPr>
          <w:rFonts w:ascii="Times New Roman" w:hAnsi="Times New Roman" w:cs="Times New Roman"/>
          <w:b/>
          <w:bCs/>
        </w:rPr>
        <w:t xml:space="preserve">) </w:t>
      </w:r>
    </w:p>
    <w:p w14:paraId="0447BF1B" w14:textId="77777777" w:rsidR="000A2B31" w:rsidRDefault="000A2B31" w:rsidP="000A2B31">
      <w:pPr>
        <w:rPr>
          <w:rFonts w:ascii="Times New Roman" w:hAnsi="Times New Roman" w:cs="Times New Roman"/>
        </w:rPr>
      </w:pPr>
    </w:p>
    <w:p w14:paraId="4F7B1D90"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Post-stratifying involves readjusting preferences at the subnational level by calculating</w:t>
      </w:r>
    </w:p>
    <w:p w14:paraId="412A0457"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demographic weights. The literature I have reviewed uses 2011 census data available at </w:t>
      </w:r>
      <w:hyperlink r:id="rId18" w:history="1">
        <w:r w:rsidRPr="00333FFD">
          <w:rPr>
            <w:rStyle w:val="Hyperlink"/>
            <w:rFonts w:ascii="Times New Roman" w:hAnsi="Times New Roman" w:cs="Times New Roman"/>
          </w:rPr>
          <w:t>https://ec.europa.eu/eurostat/web/population-and-housing-census/census-data/2011-census</w:t>
        </w:r>
      </w:hyperlink>
    </w:p>
    <w:p w14:paraId="03F54E15"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and </w:t>
      </w:r>
      <w:proofErr w:type="gramStart"/>
      <w:r>
        <w:rPr>
          <w:rFonts w:ascii="Times New Roman" w:hAnsi="Times New Roman" w:cs="Times New Roman"/>
        </w:rPr>
        <w:t>there</w:t>
      </w:r>
      <w:proofErr w:type="gramEnd"/>
      <w:r>
        <w:rPr>
          <w:rFonts w:ascii="Times New Roman" w:hAnsi="Times New Roman" w:cs="Times New Roman"/>
        </w:rPr>
        <w:t xml:space="preserve"> additional options to use 2001 census data as well (a more general link to census data in the EU: </w:t>
      </w:r>
      <w:hyperlink r:id="rId19" w:history="1">
        <w:r w:rsidRPr="00333FFD">
          <w:rPr>
            <w:rStyle w:val="Hyperlink"/>
            <w:rFonts w:ascii="Times New Roman" w:hAnsi="Times New Roman" w:cs="Times New Roman"/>
          </w:rPr>
          <w:t>https://ec.europa.eu/eurostat/web/population-and-housing-census/census-data/database</w:t>
        </w:r>
      </w:hyperlink>
      <w:r>
        <w:rPr>
          <w:rFonts w:ascii="Times New Roman" w:hAnsi="Times New Roman" w:cs="Times New Roman"/>
        </w:rPr>
        <w:t>)</w:t>
      </w:r>
    </w:p>
    <w:p w14:paraId="74C13240" w14:textId="77777777" w:rsidR="000A2B31" w:rsidRPr="0039195E" w:rsidRDefault="000A2B31" w:rsidP="000A2B31">
      <w:pPr>
        <w:ind w:left="360"/>
        <w:rPr>
          <w:rFonts w:ascii="Times New Roman" w:hAnsi="Times New Roman" w:cs="Times New Roman"/>
        </w:rPr>
      </w:pPr>
    </w:p>
    <w:p w14:paraId="32B1AB0D" w14:textId="77777777" w:rsidR="000A2B31" w:rsidRPr="00D1292F"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European Parliament Roll Call Votes</w:t>
      </w:r>
    </w:p>
    <w:p w14:paraId="64FBD77B" w14:textId="77777777" w:rsidR="000A2B31" w:rsidRDefault="000A2B31" w:rsidP="000A2B31">
      <w:pPr>
        <w:rPr>
          <w:rFonts w:ascii="Times New Roman" w:hAnsi="Times New Roman" w:cs="Times New Roman"/>
        </w:rPr>
      </w:pPr>
    </w:p>
    <w:p w14:paraId="2C8667A5"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 xml:space="preserve">Finally, the sub-national preferences will be correlated to MEP votes, which can be accessed in raw format at: </w:t>
      </w:r>
      <w:hyperlink r:id="rId20" w:history="1">
        <w:r w:rsidRPr="00333FFD">
          <w:rPr>
            <w:rStyle w:val="Hyperlink"/>
            <w:rFonts w:ascii="Times New Roman" w:hAnsi="Times New Roman" w:cs="Times New Roman"/>
          </w:rPr>
          <w:t>https://parltrack.org/dumps</w:t>
        </w:r>
      </w:hyperlink>
      <w:r>
        <w:rPr>
          <w:rFonts w:ascii="Times New Roman" w:hAnsi="Times New Roman" w:cs="Times New Roman"/>
        </w:rPr>
        <w:t xml:space="preserve"> (under the MEP Plenary votes tab). I have already started perusing the votes, and the format is quite unwieldy because the format is in a json file. </w:t>
      </w:r>
      <w:proofErr w:type="gramStart"/>
      <w:r>
        <w:rPr>
          <w:rFonts w:ascii="Times New Roman" w:hAnsi="Times New Roman" w:cs="Times New Roman"/>
        </w:rPr>
        <w:t>Therefore</w:t>
      </w:r>
      <w:proofErr w:type="gramEnd"/>
      <w:r>
        <w:rPr>
          <w:rFonts w:ascii="Times New Roman" w:hAnsi="Times New Roman" w:cs="Times New Roman"/>
        </w:rPr>
        <w:t xml:space="preserve"> I plan on using pre-made scorecards on MEP voting records to guide which legislation I should be looking at when analyzing votes: </w:t>
      </w:r>
      <w:hyperlink r:id="rId21" w:history="1">
        <w:r w:rsidRPr="00333FFD">
          <w:rPr>
            <w:rStyle w:val="Hyperlink"/>
            <w:rFonts w:ascii="Times New Roman" w:hAnsi="Times New Roman" w:cs="Times New Roman"/>
          </w:rPr>
          <w:t>http://www.caneurope.org/publications/blogs/718-mep-scorecards-ranking-european-parliamentarians-on-climate-action</w:t>
        </w:r>
      </w:hyperlink>
    </w:p>
    <w:p w14:paraId="3B42F63D" w14:textId="77777777" w:rsidR="000A2B31" w:rsidRDefault="00292F1D" w:rsidP="000A2B31">
      <w:pPr>
        <w:spacing w:line="480" w:lineRule="auto"/>
        <w:rPr>
          <w:rStyle w:val="Hyperlink"/>
          <w:rFonts w:ascii="Times New Roman" w:hAnsi="Times New Roman" w:cs="Times New Roman"/>
        </w:rPr>
      </w:pPr>
      <w:hyperlink r:id="rId22" w:history="1">
        <w:r w:rsidR="000A2B31" w:rsidRPr="00333FFD">
          <w:rPr>
            <w:rStyle w:val="Hyperlink"/>
            <w:rFonts w:ascii="Times New Roman" w:hAnsi="Times New Roman" w:cs="Times New Roman"/>
          </w:rPr>
          <w:t>https://www.score-ep.org/</w:t>
        </w:r>
      </w:hyperlink>
    </w:p>
    <w:p w14:paraId="12ED5F13" w14:textId="77777777" w:rsidR="000A2B31" w:rsidRDefault="000A2B31" w:rsidP="000A2B31">
      <w:pPr>
        <w:spacing w:line="480" w:lineRule="auto"/>
        <w:rPr>
          <w:rFonts w:ascii="Times New Roman" w:hAnsi="Times New Roman" w:cs="Times New Roman"/>
        </w:rPr>
      </w:pPr>
    </w:p>
    <w:p w14:paraId="3765185F"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lastRenderedPageBreak/>
        <w:t xml:space="preserve">Once the votes are read in, they can be tallied and aggregated into an index score for </w:t>
      </w:r>
      <w:proofErr w:type="gramStart"/>
      <w:r>
        <w:rPr>
          <w:rFonts w:ascii="Times New Roman" w:hAnsi="Times New Roman" w:cs="Times New Roman"/>
        </w:rPr>
        <w:t>an</w:t>
      </w:r>
      <w:proofErr w:type="gramEnd"/>
      <w:r>
        <w:rPr>
          <w:rFonts w:ascii="Times New Roman" w:hAnsi="Times New Roman" w:cs="Times New Roman"/>
        </w:rPr>
        <w:t xml:space="preserve"> MEP’s performance on a certain issue. For instance, an MEP voting in favor </w:t>
      </w:r>
      <w:proofErr w:type="gramStart"/>
      <w:r>
        <w:rPr>
          <w:rFonts w:ascii="Times New Roman" w:hAnsi="Times New Roman" w:cs="Times New Roman"/>
        </w:rPr>
        <w:t>of  environmental</w:t>
      </w:r>
      <w:proofErr w:type="gramEnd"/>
      <w:r>
        <w:rPr>
          <w:rFonts w:ascii="Times New Roman" w:hAnsi="Times New Roman" w:cs="Times New Roman"/>
        </w:rPr>
        <w:t xml:space="preserve"> regulation will receive +1 on that vote, 0 if he abstains and -1 if he votes against it.</w:t>
      </w:r>
    </w:p>
    <w:p w14:paraId="11FB1D7F" w14:textId="77777777" w:rsidR="000A2B31" w:rsidRPr="00597355" w:rsidRDefault="000A2B31" w:rsidP="00C703B7">
      <w:pPr>
        <w:spacing w:line="480" w:lineRule="auto"/>
        <w:ind w:firstLine="360"/>
        <w:rPr>
          <w:rFonts w:ascii="Times New Roman" w:hAnsi="Times New Roman" w:cs="Times New Roman"/>
          <w:b/>
          <w:bCs/>
        </w:rPr>
      </w:pPr>
    </w:p>
    <w:sectPr w:rsidR="000A2B31" w:rsidRPr="00597355" w:rsidSect="004930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42109" w14:textId="77777777" w:rsidR="00292F1D" w:rsidRDefault="00292F1D" w:rsidP="001345A9">
      <w:r>
        <w:separator/>
      </w:r>
    </w:p>
  </w:endnote>
  <w:endnote w:type="continuationSeparator" w:id="0">
    <w:p w14:paraId="3207D42D" w14:textId="77777777" w:rsidR="00292F1D" w:rsidRDefault="00292F1D" w:rsidP="00134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58CA7" w14:textId="77777777" w:rsidR="00292F1D" w:rsidRDefault="00292F1D" w:rsidP="001345A9">
      <w:r>
        <w:separator/>
      </w:r>
    </w:p>
  </w:footnote>
  <w:footnote w:type="continuationSeparator" w:id="0">
    <w:p w14:paraId="3BBB5480" w14:textId="77777777" w:rsidR="00292F1D" w:rsidRDefault="00292F1D" w:rsidP="001345A9">
      <w:r>
        <w:continuationSeparator/>
      </w:r>
    </w:p>
  </w:footnote>
  <w:footnote w:id="1">
    <w:p w14:paraId="6F19A339" w14:textId="1CFC17EE" w:rsidR="00293815" w:rsidRPr="00563E45" w:rsidRDefault="00293815">
      <w:pPr>
        <w:pStyle w:val="FootnoteText"/>
      </w:pPr>
      <w:r w:rsidRPr="00563E45">
        <w:rPr>
          <w:rStyle w:val="FootnoteReference"/>
        </w:rPr>
        <w:t>*</w:t>
      </w:r>
      <w:r w:rsidRPr="00563E45">
        <w:t xml:space="preserve"> I’d like to thank Juan Lopez Martin for help with the </w:t>
      </w:r>
      <w:r w:rsidR="00C51185" w:rsidRPr="00563E45">
        <w:t xml:space="preserve">conducing the MRP analysis and with finding </w:t>
      </w:r>
      <w:r w:rsidRPr="00563E45">
        <w:t>title.</w:t>
      </w:r>
      <w:r w:rsidR="00A272B0" w:rsidRPr="00563E45">
        <w:t xml:space="preserve"> </w:t>
      </w:r>
      <w:proofErr w:type="gramStart"/>
      <w:r w:rsidR="00A272B0" w:rsidRPr="00563E45">
        <w:t>Also</w:t>
      </w:r>
      <w:proofErr w:type="gramEnd"/>
      <w:r w:rsidR="00A272B0" w:rsidRPr="00563E45">
        <w:t xml:space="preserve"> many thanks to my advisor Prof. Justin Phillips for teaching me MRP and inspiring me to write this thesis. And thanks to the QMSS class, Elena </w:t>
      </w:r>
      <w:proofErr w:type="spellStart"/>
      <w:r w:rsidR="00A272B0" w:rsidRPr="00563E45">
        <w:t>Krumova</w:t>
      </w:r>
      <w:proofErr w:type="spellEnd"/>
      <w:r w:rsidR="00A272B0" w:rsidRPr="00563E45">
        <w:t xml:space="preserve"> and the TAs and students who partook in the discussion seminars.</w:t>
      </w:r>
    </w:p>
  </w:footnote>
  <w:footnote w:id="2">
    <w:p w14:paraId="7DD84BCE" w14:textId="730CCF5F" w:rsidR="00B434DE" w:rsidRPr="00563E45" w:rsidRDefault="00B434DE" w:rsidP="00BD0B87">
      <w:pPr>
        <w:pStyle w:val="NoSpacing"/>
        <w:rPr>
          <w:sz w:val="20"/>
          <w:szCs w:val="20"/>
        </w:rPr>
      </w:pPr>
      <w:r w:rsidRPr="00563E45">
        <w:rPr>
          <w:rStyle w:val="FootnoteReference"/>
          <w:sz w:val="20"/>
          <w:szCs w:val="20"/>
        </w:rPr>
        <w:footnoteRef/>
      </w:r>
      <w:r w:rsidRPr="00563E45">
        <w:rPr>
          <w:sz w:val="20"/>
          <w:szCs w:val="20"/>
        </w:rPr>
        <w:t xml:space="preserve"> Muñoz, S. (2016). European Parliament. Retrieved December 05, 2020, from </w:t>
      </w:r>
      <w:hyperlink r:id="rId1" w:history="1">
        <w:r w:rsidRPr="00563E45">
          <w:rPr>
            <w:sz w:val="20"/>
            <w:szCs w:val="20"/>
          </w:rPr>
          <w:t>https://www.cvce.eu/obj/european_parliament-en-ad6a0d57-08ef-427d-a715-f6e3bfaf775a.html</w:t>
        </w:r>
      </w:hyperlink>
    </w:p>
  </w:footnote>
  <w:footnote w:id="3">
    <w:p w14:paraId="56CD6282" w14:textId="4D961F2E" w:rsidR="00B434DE" w:rsidRPr="00563E45" w:rsidRDefault="00B434DE" w:rsidP="000C7B73">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w:t>
      </w:r>
      <w:proofErr w:type="spellStart"/>
      <w:r w:rsidRPr="00563E45">
        <w:rPr>
          <w:sz w:val="20"/>
          <w:szCs w:val="20"/>
        </w:rPr>
        <w:t>Bux</w:t>
      </w:r>
      <w:proofErr w:type="spellEnd"/>
      <w:r w:rsidRPr="00563E45">
        <w:rPr>
          <w:sz w:val="20"/>
          <w:szCs w:val="20"/>
        </w:rPr>
        <w:t>, U. (2020, February). The European Parliament: Historical background: Fact Sheets on the European Union: European Parliament. Retrieved December 05, 2020, from https://www.europarl.europa.eu/factsheets/en/sheet/11/the-european-parliament-historical-background</w:t>
      </w:r>
    </w:p>
  </w:footnote>
  <w:footnote w:id="4">
    <w:p w14:paraId="28FB8912" w14:textId="7496E781" w:rsidR="00B434DE" w:rsidRPr="00563E45" w:rsidRDefault="00B434DE">
      <w:pPr>
        <w:pStyle w:val="FootnoteText"/>
      </w:pPr>
      <w:r w:rsidRPr="00563E45">
        <w:rPr>
          <w:rStyle w:val="FootnoteReference"/>
        </w:rPr>
        <w:t>*</w:t>
      </w:r>
      <w:r w:rsidRPr="00563E45">
        <w:t xml:space="preserve"> Although the 1957 Treaty of Rome established that MEPs should be elected by a common universal suffrage, it took a threat from the European Parliament to bring the matter to the European Court of Justice to get the Council of the European Union to acquiesce in setting up elections. </w:t>
      </w:r>
    </w:p>
  </w:footnote>
  <w:footnote w:id="5">
    <w:p w14:paraId="7DF3743E" w14:textId="23324E44" w:rsidR="00B434DE" w:rsidRPr="00563E45" w:rsidRDefault="00B434DE">
      <w:pPr>
        <w:pStyle w:val="FootnoteText"/>
      </w:pPr>
      <w:r w:rsidRPr="00563E45">
        <w:rPr>
          <w:rStyle w:val="FootnoteReference"/>
        </w:rPr>
        <w:footnoteRef/>
      </w:r>
      <w:r w:rsidRPr="00563E45">
        <w:t xml:space="preserve"> A full list of functions can be found here: </w:t>
      </w:r>
      <w:hyperlink r:id="rId2" w:history="1">
        <w:r w:rsidRPr="00563E45">
          <w:rPr>
            <w:rStyle w:val="Hyperlink"/>
          </w:rPr>
          <w:t>https://europa.eu/european-union/about-eu/institutions-bodies/european-parliament_en</w:t>
        </w:r>
      </w:hyperlink>
    </w:p>
  </w:footnote>
  <w:footnote w:id="6">
    <w:p w14:paraId="6FDC7FF9" w14:textId="78016A4E" w:rsidR="00B434DE" w:rsidRPr="00563E45" w:rsidRDefault="00B434DE" w:rsidP="00890B5D">
      <w:pPr>
        <w:pStyle w:val="NoSpacing"/>
        <w:rPr>
          <w:sz w:val="20"/>
          <w:szCs w:val="20"/>
        </w:rPr>
      </w:pPr>
      <w:r w:rsidRPr="00563E45">
        <w:rPr>
          <w:rStyle w:val="FootnoteReference"/>
          <w:sz w:val="20"/>
          <w:szCs w:val="20"/>
        </w:rPr>
        <w:footnoteRef/>
      </w:r>
      <w:r w:rsidRPr="00563E45">
        <w:rPr>
          <w:sz w:val="20"/>
          <w:szCs w:val="20"/>
        </w:rPr>
        <w:t xml:space="preserve"> </w:t>
      </w:r>
      <w:proofErr w:type="spellStart"/>
      <w:r w:rsidRPr="00563E45">
        <w:rPr>
          <w:sz w:val="20"/>
          <w:szCs w:val="20"/>
        </w:rPr>
        <w:t>Dinan</w:t>
      </w:r>
      <w:proofErr w:type="spellEnd"/>
      <w:r w:rsidRPr="00563E45">
        <w:rPr>
          <w:sz w:val="20"/>
          <w:szCs w:val="20"/>
        </w:rPr>
        <w:t xml:space="preserve">, D. (2007). Fifty Years of European Integration: A Remarkable Achievement. </w:t>
      </w:r>
      <w:r w:rsidRPr="00563E45">
        <w:rPr>
          <w:i/>
          <w:iCs/>
          <w:sz w:val="20"/>
          <w:szCs w:val="20"/>
        </w:rPr>
        <w:t>Fordham International Law Journal,</w:t>
      </w:r>
      <w:r w:rsidRPr="00563E45">
        <w:rPr>
          <w:sz w:val="20"/>
          <w:szCs w:val="20"/>
        </w:rPr>
        <w:t xml:space="preserve"> </w:t>
      </w:r>
      <w:r w:rsidRPr="00563E45">
        <w:rPr>
          <w:i/>
          <w:iCs/>
          <w:sz w:val="20"/>
          <w:szCs w:val="20"/>
        </w:rPr>
        <w:t>31</w:t>
      </w:r>
      <w:r w:rsidRPr="00563E45">
        <w:rPr>
          <w:sz w:val="20"/>
          <w:szCs w:val="20"/>
        </w:rPr>
        <w:t>(5), 1118-1142.</w:t>
      </w:r>
    </w:p>
  </w:footnote>
  <w:footnote w:id="7">
    <w:p w14:paraId="66C74DFB" w14:textId="7BF53ED6" w:rsidR="00B434DE" w:rsidRPr="00563E45" w:rsidRDefault="00B434DE" w:rsidP="006069D7">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Goddard, M. (2017). The EU General Data Protection Regulation (GDPR): European regulation that has a global impact. </w:t>
      </w:r>
      <w:r w:rsidRPr="00563E45">
        <w:rPr>
          <w:i/>
          <w:iCs/>
          <w:sz w:val="20"/>
          <w:szCs w:val="20"/>
        </w:rPr>
        <w:t>International Journal of Market Research,</w:t>
      </w:r>
      <w:r w:rsidRPr="00563E45">
        <w:rPr>
          <w:sz w:val="20"/>
          <w:szCs w:val="20"/>
        </w:rPr>
        <w:t xml:space="preserve"> </w:t>
      </w:r>
      <w:r w:rsidRPr="00563E45">
        <w:rPr>
          <w:i/>
          <w:iCs/>
          <w:sz w:val="20"/>
          <w:szCs w:val="20"/>
        </w:rPr>
        <w:t>59</w:t>
      </w:r>
      <w:r w:rsidRPr="00563E45">
        <w:rPr>
          <w:sz w:val="20"/>
          <w:szCs w:val="20"/>
        </w:rPr>
        <w:t>(6), 703-705. doi:10.2501/IJMR-2017-050</w:t>
      </w:r>
    </w:p>
  </w:footnote>
  <w:footnote w:id="8">
    <w:p w14:paraId="0496F22A" w14:textId="1558CC8F" w:rsidR="00AA2C6A" w:rsidRPr="00563E45" w:rsidRDefault="00AA2C6A" w:rsidP="00AA2C6A">
      <w:pPr>
        <w:pStyle w:val="NoSpacing"/>
        <w:rPr>
          <w:sz w:val="20"/>
          <w:szCs w:val="20"/>
        </w:rPr>
      </w:pPr>
      <w:r w:rsidRPr="00563E45">
        <w:rPr>
          <w:rStyle w:val="FootnoteReference"/>
          <w:sz w:val="20"/>
          <w:szCs w:val="20"/>
        </w:rPr>
        <w:footnoteRef/>
      </w:r>
      <w:r w:rsidRPr="00563E45">
        <w:rPr>
          <w:sz w:val="20"/>
          <w:szCs w:val="20"/>
        </w:rPr>
        <w:t xml:space="preserve"> [Introduction]. (2016). H. Zimmermann &amp; A. </w:t>
      </w:r>
      <w:proofErr w:type="spellStart"/>
      <w:r w:rsidRPr="00563E45">
        <w:rPr>
          <w:sz w:val="20"/>
          <w:szCs w:val="20"/>
        </w:rPr>
        <w:t>Dür</w:t>
      </w:r>
      <w:proofErr w:type="spellEnd"/>
      <w:r w:rsidRPr="00563E45">
        <w:rPr>
          <w:sz w:val="20"/>
          <w:szCs w:val="20"/>
        </w:rPr>
        <w:t xml:space="preserve">, </w:t>
      </w:r>
      <w:r w:rsidRPr="00563E45">
        <w:rPr>
          <w:i/>
          <w:iCs/>
          <w:sz w:val="20"/>
          <w:szCs w:val="20"/>
        </w:rPr>
        <w:t>Key controversies in European integration</w:t>
      </w:r>
      <w:r w:rsidRPr="00563E45">
        <w:rPr>
          <w:sz w:val="20"/>
          <w:szCs w:val="20"/>
        </w:rPr>
        <w:t xml:space="preserve"> (pp. 1-13). London, U.K.: Macmillan Education.</w:t>
      </w:r>
    </w:p>
  </w:footnote>
  <w:footnote w:id="9">
    <w:p w14:paraId="218668B9" w14:textId="3E137082" w:rsidR="005617FA" w:rsidRPr="00563E45" w:rsidRDefault="005617FA" w:rsidP="00BE4675">
      <w:pPr>
        <w:pStyle w:val="NoSpacing"/>
        <w:rPr>
          <w:sz w:val="20"/>
          <w:szCs w:val="20"/>
        </w:rPr>
      </w:pPr>
      <w:r w:rsidRPr="00563E45">
        <w:rPr>
          <w:rStyle w:val="FootnoteReference"/>
          <w:sz w:val="20"/>
          <w:szCs w:val="20"/>
        </w:rPr>
        <w:footnoteRef/>
      </w:r>
      <w:r w:rsidRPr="00563E45">
        <w:rPr>
          <w:sz w:val="20"/>
          <w:szCs w:val="20"/>
        </w:rPr>
        <w:t xml:space="preserve"> </w:t>
      </w:r>
      <w:proofErr w:type="spellStart"/>
      <w:r w:rsidRPr="00563E45">
        <w:rPr>
          <w:sz w:val="20"/>
          <w:szCs w:val="20"/>
        </w:rPr>
        <w:t>Alemanno</w:t>
      </w:r>
      <w:proofErr w:type="spellEnd"/>
      <w:r w:rsidRPr="00563E45">
        <w:rPr>
          <w:sz w:val="20"/>
          <w:szCs w:val="20"/>
        </w:rPr>
        <w:t>, A. (2020, January 21). The EU won't fix its democratic deficit with another top-down 'conference'. Retrieved October 23, 2020, from https://www.theguardian.com/commentisfree/2020/jan/21/eu-democratic-deficit-top-down-conference-verhofstadt</w:t>
      </w:r>
    </w:p>
  </w:footnote>
  <w:footnote w:id="10">
    <w:p w14:paraId="34697CE0" w14:textId="640DB6C5" w:rsidR="00B434DE" w:rsidRPr="00563E45" w:rsidRDefault="00B434DE" w:rsidP="00B10E57">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Katz, R. S. (2001). Models of Democracy. </w:t>
      </w:r>
      <w:r w:rsidRPr="00563E45">
        <w:rPr>
          <w:i/>
          <w:iCs/>
          <w:sz w:val="20"/>
          <w:szCs w:val="20"/>
        </w:rPr>
        <w:t>European Union Politics,</w:t>
      </w:r>
      <w:r w:rsidRPr="00563E45">
        <w:rPr>
          <w:sz w:val="20"/>
          <w:szCs w:val="20"/>
        </w:rPr>
        <w:t xml:space="preserve"> </w:t>
      </w:r>
      <w:r w:rsidRPr="00563E45">
        <w:rPr>
          <w:i/>
          <w:iCs/>
          <w:sz w:val="20"/>
          <w:szCs w:val="20"/>
        </w:rPr>
        <w:t>2</w:t>
      </w:r>
      <w:r w:rsidRPr="00563E45">
        <w:rPr>
          <w:sz w:val="20"/>
          <w:szCs w:val="20"/>
        </w:rPr>
        <w:t>(1), 53-79. doi:10.1177/1465116501002001003</w:t>
      </w:r>
    </w:p>
  </w:footnote>
  <w:footnote w:id="11">
    <w:p w14:paraId="17C18952" w14:textId="77777777" w:rsidR="00B434DE" w:rsidRPr="00563E45" w:rsidRDefault="00B434DE" w:rsidP="00326F95">
      <w:pPr>
        <w:pStyle w:val="NoSpacing"/>
        <w:rPr>
          <w:sz w:val="20"/>
          <w:szCs w:val="20"/>
        </w:rPr>
      </w:pPr>
      <w:r w:rsidRPr="00563E45">
        <w:rPr>
          <w:rStyle w:val="FootnoteReference"/>
          <w:rFonts w:cstheme="minorHAnsi"/>
          <w:sz w:val="20"/>
          <w:szCs w:val="20"/>
        </w:rPr>
        <w:footnoteRef/>
      </w:r>
      <w:r w:rsidRPr="00563E45">
        <w:rPr>
          <w:sz w:val="20"/>
          <w:szCs w:val="20"/>
        </w:rPr>
        <w:t xml:space="preserve"> </w:t>
      </w:r>
      <w:proofErr w:type="spellStart"/>
      <w:r w:rsidRPr="00563E45">
        <w:rPr>
          <w:sz w:val="20"/>
          <w:szCs w:val="20"/>
        </w:rPr>
        <w:t>Follesdal</w:t>
      </w:r>
      <w:proofErr w:type="spellEnd"/>
      <w:r w:rsidRPr="00563E45">
        <w:rPr>
          <w:sz w:val="20"/>
          <w:szCs w:val="20"/>
        </w:rPr>
        <w:t xml:space="preserve">, A., &amp; Hix, S. (2006). Why There is a Democratic Deficit in the EU: A Response to </w:t>
      </w:r>
      <w:proofErr w:type="spellStart"/>
      <w:r w:rsidRPr="00563E45">
        <w:rPr>
          <w:sz w:val="20"/>
          <w:szCs w:val="20"/>
        </w:rPr>
        <w:t>Majone</w:t>
      </w:r>
      <w:proofErr w:type="spellEnd"/>
      <w:r w:rsidRPr="00563E45">
        <w:rPr>
          <w:sz w:val="20"/>
          <w:szCs w:val="20"/>
        </w:rPr>
        <w:t xml:space="preserve"> and </w:t>
      </w:r>
      <w:proofErr w:type="spellStart"/>
      <w:r w:rsidRPr="00563E45">
        <w:rPr>
          <w:sz w:val="20"/>
          <w:szCs w:val="20"/>
        </w:rPr>
        <w:t>Moravcsik</w:t>
      </w:r>
      <w:proofErr w:type="spellEnd"/>
      <w:r w:rsidRPr="00563E45">
        <w:rPr>
          <w:sz w:val="20"/>
          <w:szCs w:val="20"/>
        </w:rPr>
        <w:t xml:space="preserve">. </w:t>
      </w:r>
      <w:r w:rsidRPr="00563E45">
        <w:rPr>
          <w:i/>
          <w:iCs/>
          <w:sz w:val="20"/>
          <w:szCs w:val="20"/>
        </w:rPr>
        <w:t>JCMS: Journal of Common Market Studies,</w:t>
      </w:r>
      <w:r w:rsidRPr="00563E45">
        <w:rPr>
          <w:sz w:val="20"/>
          <w:szCs w:val="20"/>
        </w:rPr>
        <w:t xml:space="preserve"> </w:t>
      </w:r>
      <w:r w:rsidRPr="00563E45">
        <w:rPr>
          <w:i/>
          <w:iCs/>
          <w:sz w:val="20"/>
          <w:szCs w:val="20"/>
        </w:rPr>
        <w:t>44</w:t>
      </w:r>
      <w:r w:rsidRPr="00563E45">
        <w:rPr>
          <w:sz w:val="20"/>
          <w:szCs w:val="20"/>
        </w:rPr>
        <w:t>(3), 533-562. doi:10.1111/j.1468-5965.</w:t>
      </w:r>
      <w:proofErr w:type="gramStart"/>
      <w:r w:rsidRPr="00563E45">
        <w:rPr>
          <w:sz w:val="20"/>
          <w:szCs w:val="20"/>
        </w:rPr>
        <w:t>2006.00650.x</w:t>
      </w:r>
      <w:proofErr w:type="gramEnd"/>
    </w:p>
  </w:footnote>
  <w:footnote w:id="12">
    <w:p w14:paraId="1ACA9527" w14:textId="57538A6B" w:rsidR="00B434DE" w:rsidRPr="00563E45" w:rsidRDefault="00B434DE">
      <w:pPr>
        <w:pStyle w:val="FootnoteText"/>
      </w:pPr>
      <w:r w:rsidRPr="00563E45">
        <w:rPr>
          <w:rStyle w:val="FootnoteReference"/>
        </w:rPr>
        <w:t>*</w:t>
      </w:r>
      <w:r w:rsidRPr="00563E45">
        <w:t xml:space="preserve"> Another frequently cited example of the EP’s complicated structure is its location: plenary sessions (where MEPs vote on proposed legislation) are held in Strasburg, specialized Committees meet in Brussels, and the Secretariat has its offices in Luxembourg.</w:t>
      </w:r>
    </w:p>
  </w:footnote>
  <w:footnote w:id="13">
    <w:p w14:paraId="046CE8F0" w14:textId="7F2BB403" w:rsidR="00CE0492" w:rsidRPr="00563E45" w:rsidRDefault="00CE0492" w:rsidP="00CE0492">
      <w:pPr>
        <w:rPr>
          <w:rFonts w:eastAsia="Times New Roman" w:cstheme="minorHAnsi"/>
          <w:sz w:val="20"/>
          <w:szCs w:val="20"/>
          <w:lang w:eastAsia="zh-CN"/>
        </w:rPr>
      </w:pPr>
      <w:r w:rsidRPr="00563E45">
        <w:rPr>
          <w:rStyle w:val="FootnoteReference"/>
          <w:rFonts w:cstheme="minorHAnsi"/>
          <w:sz w:val="20"/>
          <w:szCs w:val="20"/>
        </w:rPr>
        <w:footnoteRef/>
      </w:r>
      <w:r w:rsidRPr="00563E45">
        <w:rPr>
          <w:rFonts w:cstheme="minorHAnsi"/>
          <w:sz w:val="20"/>
          <w:szCs w:val="20"/>
        </w:rPr>
        <w:t xml:space="preserve"> </w:t>
      </w:r>
      <w:proofErr w:type="spellStart"/>
      <w:r w:rsidRPr="00563E45">
        <w:rPr>
          <w:rFonts w:cstheme="minorHAnsi"/>
          <w:color w:val="1C1D1E"/>
          <w:sz w:val="20"/>
          <w:szCs w:val="20"/>
          <w:shd w:val="clear" w:color="auto" w:fill="FFFFFF"/>
        </w:rPr>
        <w:t>Hobolt</w:t>
      </w:r>
      <w:proofErr w:type="spellEnd"/>
      <w:r w:rsidRPr="00563E45">
        <w:rPr>
          <w:rFonts w:cstheme="minorHAnsi"/>
          <w:color w:val="1C1D1E"/>
          <w:sz w:val="20"/>
          <w:szCs w:val="20"/>
          <w:shd w:val="clear" w:color="auto" w:fill="FFFFFF"/>
        </w:rPr>
        <w:t xml:space="preserve">, S.B. (2012), Citizen Satisfaction with Democracy in the European Union. </w:t>
      </w:r>
      <w:r w:rsidRPr="00563E45">
        <w:rPr>
          <w:rFonts w:cstheme="minorHAnsi"/>
          <w:i/>
          <w:iCs/>
          <w:color w:val="1C1D1E"/>
          <w:sz w:val="20"/>
          <w:szCs w:val="20"/>
          <w:shd w:val="clear" w:color="auto" w:fill="FFFFFF"/>
        </w:rPr>
        <w:t>Journal of Common Market Studies</w:t>
      </w:r>
      <w:r w:rsidRPr="00563E45">
        <w:rPr>
          <w:rFonts w:cstheme="minorHAnsi"/>
          <w:color w:val="1C1D1E"/>
          <w:sz w:val="20"/>
          <w:szCs w:val="20"/>
          <w:shd w:val="clear" w:color="auto" w:fill="FFFFFF"/>
        </w:rPr>
        <w:t>, 50: 88-105. </w:t>
      </w:r>
      <w:hyperlink r:id="rId3" w:history="1">
        <w:r w:rsidRPr="00563E45">
          <w:rPr>
            <w:rStyle w:val="Hyperlink"/>
            <w:rFonts w:cstheme="minorHAnsi"/>
            <w:color w:val="005274"/>
            <w:sz w:val="20"/>
            <w:szCs w:val="20"/>
            <w:shd w:val="clear" w:color="auto" w:fill="FFFFFF"/>
          </w:rPr>
          <w:t>https://doi.org/10.1111/j.1468-5965.2011.02229.x</w:t>
        </w:r>
      </w:hyperlink>
    </w:p>
  </w:footnote>
  <w:footnote w:id="14">
    <w:p w14:paraId="459B0879" w14:textId="356A9470" w:rsidR="00B434DE" w:rsidRPr="00563E45" w:rsidRDefault="00B434DE" w:rsidP="006E7426">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Hix, S., &amp; Marsh, M. (2007). Punishment or Protest? Understanding European Parliament Elections. </w:t>
      </w:r>
      <w:r w:rsidRPr="00563E45">
        <w:rPr>
          <w:i/>
          <w:iCs/>
          <w:sz w:val="20"/>
          <w:szCs w:val="20"/>
        </w:rPr>
        <w:t>The Journal of Politics,</w:t>
      </w:r>
      <w:r w:rsidRPr="00563E45">
        <w:rPr>
          <w:sz w:val="20"/>
          <w:szCs w:val="20"/>
        </w:rPr>
        <w:t xml:space="preserve"> </w:t>
      </w:r>
      <w:r w:rsidRPr="00563E45">
        <w:rPr>
          <w:i/>
          <w:iCs/>
          <w:sz w:val="20"/>
          <w:szCs w:val="20"/>
        </w:rPr>
        <w:t>69</w:t>
      </w:r>
      <w:r w:rsidRPr="00563E45">
        <w:rPr>
          <w:sz w:val="20"/>
          <w:szCs w:val="20"/>
        </w:rPr>
        <w:t>(2), 495-510. doi:10.1111/j.1468-2508.</w:t>
      </w:r>
      <w:proofErr w:type="gramStart"/>
      <w:r w:rsidRPr="00563E45">
        <w:rPr>
          <w:sz w:val="20"/>
          <w:szCs w:val="20"/>
        </w:rPr>
        <w:t>2007.00546.x</w:t>
      </w:r>
      <w:proofErr w:type="gramEnd"/>
    </w:p>
  </w:footnote>
  <w:footnote w:id="15">
    <w:p w14:paraId="0A6344A0" w14:textId="098249C4" w:rsidR="00B434DE" w:rsidRPr="00563E45" w:rsidRDefault="00B434DE">
      <w:pPr>
        <w:pStyle w:val="FootnoteText"/>
      </w:pPr>
      <w:r w:rsidRPr="00563E45">
        <w:rPr>
          <w:rStyle w:val="FootnoteReference"/>
        </w:rPr>
        <w:footnoteRef/>
      </w:r>
      <w:r w:rsidRPr="00563E45">
        <w:t xml:space="preserve"> </w:t>
      </w:r>
      <w:proofErr w:type="spellStart"/>
      <w:r w:rsidRPr="00563E45">
        <w:t>Follesdal</w:t>
      </w:r>
      <w:proofErr w:type="spellEnd"/>
      <w:r w:rsidRPr="00563E45">
        <w:t xml:space="preserve"> &amp; Hix (2006), pp. 537.</w:t>
      </w:r>
    </w:p>
  </w:footnote>
  <w:footnote w:id="16">
    <w:p w14:paraId="6C37DFCE" w14:textId="01170BF7" w:rsidR="00461405" w:rsidRPr="00563E45" w:rsidRDefault="00461405" w:rsidP="00461405">
      <w:pPr>
        <w:rPr>
          <w:sz w:val="20"/>
          <w:szCs w:val="20"/>
        </w:rPr>
      </w:pPr>
      <w:r w:rsidRPr="00563E45">
        <w:rPr>
          <w:sz w:val="20"/>
          <w:szCs w:val="20"/>
          <w:vertAlign w:val="superscript"/>
        </w:rPr>
        <w:footnoteRef/>
      </w:r>
      <w:r w:rsidRPr="00563E45">
        <w:rPr>
          <w:sz w:val="20"/>
          <w:szCs w:val="20"/>
          <w:vertAlign w:val="superscript"/>
        </w:rPr>
        <w:t xml:space="preserve"> </w:t>
      </w:r>
      <w:r w:rsidRPr="00563E45">
        <w:rPr>
          <w:sz w:val="20"/>
          <w:szCs w:val="20"/>
        </w:rPr>
        <w:t>Erikson, R., Wright, G., &amp; McIver, J. (1994). Statehouse Democracy: Public Opinion and Policy in the American States. Cambridge: Cambridge University Press. doi:10.1017/CBO9780511752933</w:t>
      </w:r>
    </w:p>
  </w:footnote>
  <w:footnote w:id="17">
    <w:p w14:paraId="49532EEF" w14:textId="3F86CD18" w:rsidR="00585275" w:rsidRPr="00563E45" w:rsidRDefault="00585275">
      <w:pPr>
        <w:pStyle w:val="FootnoteText"/>
      </w:pPr>
      <w:r w:rsidRPr="00563E45">
        <w:rPr>
          <w:rStyle w:val="FootnoteReference"/>
        </w:rPr>
        <w:footnoteRef/>
      </w:r>
      <w:r w:rsidRPr="00563E45">
        <w:t xml:space="preserve"> Lax, J. R., &amp; Phillips, J. H. (2009). How Should We Estimate Public Opinion in The States? </w:t>
      </w:r>
      <w:r w:rsidRPr="00563E45">
        <w:rPr>
          <w:i/>
          <w:iCs/>
        </w:rPr>
        <w:t>American Journal of Political Science</w:t>
      </w:r>
      <w:r w:rsidRPr="00563E45">
        <w:t>, 53(1), 107–121. https://doi.org/10.1111/j.1540-5907.2008.00360.x</w:t>
      </w:r>
    </w:p>
  </w:footnote>
  <w:footnote w:id="18">
    <w:p w14:paraId="3725F89F" w14:textId="77777777" w:rsidR="00DC6EE7" w:rsidRPr="00563E45" w:rsidRDefault="00DC6EE7" w:rsidP="00DC6EE7">
      <w:pPr>
        <w:pStyle w:val="NoSpacing"/>
        <w:rPr>
          <w:sz w:val="20"/>
          <w:szCs w:val="20"/>
        </w:rPr>
      </w:pPr>
      <w:r w:rsidRPr="00563E45">
        <w:rPr>
          <w:rStyle w:val="FootnoteReference"/>
          <w:sz w:val="20"/>
          <w:szCs w:val="20"/>
        </w:rPr>
        <w:footnoteRef/>
      </w:r>
      <w:r w:rsidRPr="00563E45">
        <w:rPr>
          <w:sz w:val="20"/>
          <w:szCs w:val="20"/>
        </w:rPr>
        <w:t xml:space="preserve"> </w:t>
      </w:r>
      <w:proofErr w:type="spellStart"/>
      <w:r w:rsidRPr="00563E45">
        <w:rPr>
          <w:sz w:val="20"/>
          <w:szCs w:val="20"/>
        </w:rPr>
        <w:t>McElreath</w:t>
      </w:r>
      <w:proofErr w:type="spellEnd"/>
      <w:r w:rsidRPr="00563E45">
        <w:rPr>
          <w:sz w:val="20"/>
          <w:szCs w:val="20"/>
        </w:rPr>
        <w:t xml:space="preserve">, R. (2020). Models with Memory. In </w:t>
      </w:r>
      <w:r w:rsidRPr="00563E45">
        <w:rPr>
          <w:i/>
          <w:iCs/>
          <w:sz w:val="20"/>
          <w:szCs w:val="20"/>
        </w:rPr>
        <w:t>Statistical rethinking a Bayesian course with examples in R and Stan</w:t>
      </w:r>
      <w:r w:rsidRPr="00563E45">
        <w:rPr>
          <w:sz w:val="20"/>
          <w:szCs w:val="20"/>
        </w:rPr>
        <w:t xml:space="preserve">. essay, CRC Press. </w:t>
      </w:r>
    </w:p>
  </w:footnote>
  <w:footnote w:id="19">
    <w:p w14:paraId="46BFB2DE" w14:textId="77777777" w:rsidR="00DC6EE7" w:rsidRPr="00563E45" w:rsidRDefault="00DC6EE7" w:rsidP="00DC6EE7">
      <w:pPr>
        <w:pStyle w:val="NoSpacing"/>
        <w:rPr>
          <w:sz w:val="20"/>
          <w:szCs w:val="20"/>
        </w:rPr>
      </w:pPr>
      <w:r w:rsidRPr="00563E45">
        <w:rPr>
          <w:rStyle w:val="FootnoteReference"/>
          <w:sz w:val="20"/>
          <w:szCs w:val="20"/>
        </w:rPr>
        <w:footnoteRef/>
      </w:r>
      <w:r w:rsidRPr="00563E45">
        <w:rPr>
          <w:sz w:val="20"/>
          <w:szCs w:val="20"/>
        </w:rPr>
        <w:t xml:space="preserve"> Gelman, A., &amp; Hill, J. Multilevel logistic regression. </w:t>
      </w:r>
      <w:r w:rsidRPr="00563E45">
        <w:rPr>
          <w:i/>
          <w:iCs/>
          <w:sz w:val="20"/>
          <w:szCs w:val="20"/>
        </w:rPr>
        <w:t>Data Analysis Using Regression and Multilevel/Hierarchical Models</w:t>
      </w:r>
      <w:r w:rsidRPr="00563E45">
        <w:rPr>
          <w:sz w:val="20"/>
          <w:szCs w:val="20"/>
        </w:rPr>
        <w:t xml:space="preserve">, 301–324. https://doi.org/10.1017/cbo9780511790942.018 </w:t>
      </w:r>
    </w:p>
  </w:footnote>
  <w:footnote w:id="20">
    <w:p w14:paraId="0F045D18" w14:textId="0315F70C" w:rsidR="00F91222" w:rsidRPr="00563E45" w:rsidRDefault="00F91222" w:rsidP="00F91222">
      <w:pPr>
        <w:pStyle w:val="NoSpacing"/>
        <w:rPr>
          <w:sz w:val="20"/>
          <w:szCs w:val="20"/>
        </w:rPr>
      </w:pPr>
      <w:r w:rsidRPr="00563E45">
        <w:rPr>
          <w:rStyle w:val="FootnoteReference"/>
          <w:sz w:val="20"/>
          <w:szCs w:val="20"/>
        </w:rPr>
        <w:footnoteRef/>
      </w:r>
      <w:r w:rsidRPr="00563E45">
        <w:rPr>
          <w:sz w:val="20"/>
          <w:szCs w:val="20"/>
        </w:rPr>
        <w:t xml:space="preserve"> Wang, W., Rothschild, D., Goel, S., &amp; Gelman, A. (2015). Forecasting elections with non-representative polls. </w:t>
      </w:r>
      <w:r w:rsidRPr="00563E45">
        <w:rPr>
          <w:i/>
          <w:iCs/>
          <w:sz w:val="20"/>
          <w:szCs w:val="20"/>
        </w:rPr>
        <w:t>International Journal of Forecasting</w:t>
      </w:r>
      <w:r w:rsidRPr="00563E45">
        <w:rPr>
          <w:sz w:val="20"/>
          <w:szCs w:val="20"/>
        </w:rPr>
        <w:t xml:space="preserve">, </w:t>
      </w:r>
      <w:r w:rsidRPr="00563E45">
        <w:rPr>
          <w:i/>
          <w:iCs/>
          <w:sz w:val="20"/>
          <w:szCs w:val="20"/>
        </w:rPr>
        <w:t>31</w:t>
      </w:r>
      <w:r w:rsidRPr="00563E45">
        <w:rPr>
          <w:sz w:val="20"/>
          <w:szCs w:val="20"/>
        </w:rPr>
        <w:t>(3), 980–991. https://doi.org/10.1016/j.ijforecast.2014.06.001</w:t>
      </w:r>
    </w:p>
  </w:footnote>
  <w:footnote w:id="21">
    <w:p w14:paraId="0CDA67DC" w14:textId="4B0A1B83" w:rsidR="00B434DE" w:rsidRPr="00563E45" w:rsidRDefault="00B434DE" w:rsidP="00326F95">
      <w:pPr>
        <w:pStyle w:val="NoSpacing"/>
        <w:rPr>
          <w:sz w:val="20"/>
          <w:szCs w:val="20"/>
        </w:rPr>
      </w:pPr>
      <w:r w:rsidRPr="00563E45">
        <w:rPr>
          <w:rStyle w:val="FootnoteReference"/>
          <w:sz w:val="20"/>
          <w:szCs w:val="20"/>
        </w:rPr>
        <w:footnoteRef/>
      </w:r>
      <w:r w:rsidRPr="00563E45">
        <w:rPr>
          <w:sz w:val="20"/>
          <w:szCs w:val="20"/>
        </w:rPr>
        <w:t xml:space="preserve"> </w:t>
      </w:r>
      <w:r w:rsidR="006E372D" w:rsidRPr="00563E45">
        <w:rPr>
          <w:sz w:val="20"/>
          <w:szCs w:val="20"/>
        </w:rPr>
        <w:t>Lax and Phillips (2009a)</w:t>
      </w:r>
    </w:p>
  </w:footnote>
  <w:footnote w:id="22">
    <w:p w14:paraId="31CF07DD" w14:textId="77777777" w:rsidR="00B434DE" w:rsidRPr="00563E45" w:rsidRDefault="00B434DE" w:rsidP="00326F95">
      <w:pPr>
        <w:pStyle w:val="NoSpacing"/>
        <w:rPr>
          <w:sz w:val="20"/>
          <w:szCs w:val="20"/>
        </w:rPr>
      </w:pPr>
      <w:r w:rsidRPr="00563E45">
        <w:rPr>
          <w:rStyle w:val="FootnoteReference"/>
          <w:sz w:val="20"/>
          <w:szCs w:val="20"/>
        </w:rPr>
        <w:footnoteRef/>
      </w:r>
      <w:r w:rsidRPr="00563E45">
        <w:rPr>
          <w:sz w:val="20"/>
          <w:szCs w:val="20"/>
        </w:rPr>
        <w:t xml:space="preserve"> Lax, J. R., Phillips, J. H., &amp; </w:t>
      </w:r>
      <w:proofErr w:type="spellStart"/>
      <w:r w:rsidRPr="00563E45">
        <w:rPr>
          <w:sz w:val="20"/>
          <w:szCs w:val="20"/>
        </w:rPr>
        <w:t>Zelizer</w:t>
      </w:r>
      <w:proofErr w:type="spellEnd"/>
      <w:r w:rsidRPr="00563E45">
        <w:rPr>
          <w:sz w:val="20"/>
          <w:szCs w:val="20"/>
        </w:rPr>
        <w:t xml:space="preserve">, A. (2019). The Party or the Purse? Unequal Representation in the US Senate. </w:t>
      </w:r>
      <w:r w:rsidRPr="00563E45">
        <w:rPr>
          <w:i/>
          <w:iCs/>
          <w:sz w:val="20"/>
          <w:szCs w:val="20"/>
        </w:rPr>
        <w:t>American Political Science Review</w:t>
      </w:r>
      <w:r w:rsidRPr="00563E45">
        <w:rPr>
          <w:sz w:val="20"/>
          <w:szCs w:val="20"/>
        </w:rPr>
        <w:t xml:space="preserve">, 113(4), 917–940. https://doi.org/10.1017/s0003055419000315 </w:t>
      </w:r>
    </w:p>
  </w:footnote>
  <w:footnote w:id="23">
    <w:p w14:paraId="6E6D71D0" w14:textId="77777777" w:rsidR="00B434DE" w:rsidRPr="00563E45" w:rsidRDefault="00B434DE" w:rsidP="00326F95">
      <w:pPr>
        <w:pStyle w:val="NoSpacing"/>
        <w:rPr>
          <w:sz w:val="20"/>
          <w:szCs w:val="20"/>
        </w:rPr>
      </w:pPr>
      <w:r w:rsidRPr="00563E45">
        <w:rPr>
          <w:rStyle w:val="FootnoteReference"/>
          <w:sz w:val="20"/>
          <w:szCs w:val="20"/>
        </w:rPr>
        <w:footnoteRef/>
      </w:r>
      <w:r w:rsidRPr="00563E45">
        <w:rPr>
          <w:sz w:val="20"/>
          <w:szCs w:val="20"/>
        </w:rPr>
        <w:t xml:space="preserve"> </w:t>
      </w:r>
      <w:proofErr w:type="spellStart"/>
      <w:r w:rsidRPr="00563E45">
        <w:rPr>
          <w:sz w:val="20"/>
          <w:szCs w:val="20"/>
        </w:rPr>
        <w:t>Kastellec</w:t>
      </w:r>
      <w:proofErr w:type="spellEnd"/>
      <w:r w:rsidRPr="00563E45">
        <w:rPr>
          <w:sz w:val="20"/>
          <w:szCs w:val="20"/>
        </w:rPr>
        <w:t xml:space="preserve">, J. P. (2016). Judicial Federalism and Representation. </w:t>
      </w:r>
      <w:r w:rsidRPr="00563E45">
        <w:rPr>
          <w:i/>
          <w:iCs/>
          <w:sz w:val="20"/>
          <w:szCs w:val="20"/>
        </w:rPr>
        <w:t>SSRN Electronic Journal</w:t>
      </w:r>
      <w:r w:rsidRPr="00563E45">
        <w:rPr>
          <w:sz w:val="20"/>
          <w:szCs w:val="20"/>
        </w:rPr>
        <w:t xml:space="preserve">. https://doi.org/10.2139/ssrn.2794194 </w:t>
      </w:r>
    </w:p>
  </w:footnote>
  <w:footnote w:id="24">
    <w:p w14:paraId="77B4322B" w14:textId="77777777" w:rsidR="00B434DE" w:rsidRPr="00563E45" w:rsidRDefault="00B434DE" w:rsidP="00326F95">
      <w:pPr>
        <w:pStyle w:val="NoSpacing"/>
        <w:rPr>
          <w:rFonts w:eastAsia="Times New Roman" w:cstheme="minorHAnsi"/>
          <w:sz w:val="20"/>
          <w:szCs w:val="20"/>
        </w:rPr>
      </w:pPr>
      <w:r w:rsidRPr="00563E45">
        <w:rPr>
          <w:rStyle w:val="FootnoteReference"/>
          <w:rFonts w:cstheme="minorHAnsi"/>
          <w:sz w:val="20"/>
          <w:szCs w:val="20"/>
        </w:rPr>
        <w:footnoteRef/>
      </w:r>
      <w:r w:rsidRPr="00563E45">
        <w:rPr>
          <w:rFonts w:cstheme="minorHAnsi"/>
          <w:sz w:val="20"/>
          <w:szCs w:val="20"/>
        </w:rPr>
        <w:t xml:space="preserve"> Introducing the YouGov Referendum Model | YouGov n.d. </w:t>
      </w:r>
      <w:hyperlink r:id="rId4" w:history="1">
        <w:r w:rsidRPr="00563E45">
          <w:rPr>
            <w:rStyle w:val="Hyperlink"/>
            <w:rFonts w:cstheme="minorHAnsi"/>
            <w:sz w:val="20"/>
            <w:szCs w:val="20"/>
          </w:rPr>
          <w:t>https://yougov.co.uk/topics/politics/articles-reports/2016/06/21/yougov-referendum-model</w:t>
        </w:r>
      </w:hyperlink>
    </w:p>
  </w:footnote>
  <w:footnote w:id="25">
    <w:p w14:paraId="56F59454" w14:textId="77777777" w:rsidR="00B434DE" w:rsidRPr="00563E45" w:rsidRDefault="00B434DE" w:rsidP="00326F95">
      <w:pPr>
        <w:rPr>
          <w:rFonts w:eastAsia="Times New Roman" w:cstheme="minorHAnsi"/>
          <w:sz w:val="20"/>
          <w:szCs w:val="20"/>
        </w:rPr>
      </w:pPr>
      <w:r w:rsidRPr="00563E45">
        <w:rPr>
          <w:rStyle w:val="FootnoteReference"/>
          <w:rFonts w:cstheme="minorHAnsi"/>
          <w:sz w:val="20"/>
          <w:szCs w:val="20"/>
        </w:rPr>
        <w:footnoteRef/>
      </w:r>
      <w:r w:rsidRPr="00563E45">
        <w:rPr>
          <w:rFonts w:cstheme="minorHAnsi"/>
          <w:sz w:val="20"/>
          <w:szCs w:val="20"/>
        </w:rPr>
        <w:t xml:space="preserve"> </w:t>
      </w:r>
      <w:proofErr w:type="spellStart"/>
      <w:r w:rsidRPr="00563E45">
        <w:rPr>
          <w:rFonts w:eastAsia="Times New Roman" w:cstheme="minorHAnsi"/>
          <w:color w:val="000000"/>
          <w:sz w:val="20"/>
          <w:szCs w:val="20"/>
          <w:shd w:val="clear" w:color="auto" w:fill="FFFFFF"/>
        </w:rPr>
        <w:t>Toshkov</w:t>
      </w:r>
      <w:proofErr w:type="spellEnd"/>
      <w:r w:rsidRPr="00563E45">
        <w:rPr>
          <w:rFonts w:eastAsia="Times New Roman" w:cstheme="minorHAnsi"/>
          <w:color w:val="000000"/>
          <w:sz w:val="20"/>
          <w:szCs w:val="20"/>
          <w:shd w:val="clear" w:color="auto" w:fill="FFFFFF"/>
        </w:rPr>
        <w:t>, D. (2015). Exploring the Performance of Multilevel Modeling and Poststratification with Eurobarometer Data. </w:t>
      </w:r>
      <w:r w:rsidRPr="00563E45">
        <w:rPr>
          <w:rFonts w:eastAsia="Times New Roman" w:cstheme="minorHAnsi"/>
          <w:i/>
          <w:iCs/>
          <w:color w:val="000000"/>
          <w:sz w:val="20"/>
          <w:szCs w:val="20"/>
          <w:shd w:val="clear" w:color="auto" w:fill="FFFFFF"/>
        </w:rPr>
        <w:t>Political Analysis,</w:t>
      </w:r>
      <w:r w:rsidRPr="00563E45">
        <w:rPr>
          <w:rFonts w:eastAsia="Times New Roman" w:cstheme="minorHAnsi"/>
          <w:color w:val="000000"/>
          <w:sz w:val="20"/>
          <w:szCs w:val="20"/>
          <w:shd w:val="clear" w:color="auto" w:fill="FFFFFF"/>
        </w:rPr>
        <w:t> </w:t>
      </w:r>
      <w:r w:rsidRPr="00563E45">
        <w:rPr>
          <w:rFonts w:eastAsia="Times New Roman" w:cstheme="minorHAnsi"/>
          <w:i/>
          <w:iCs/>
          <w:color w:val="000000"/>
          <w:sz w:val="20"/>
          <w:szCs w:val="20"/>
          <w:shd w:val="clear" w:color="auto" w:fill="FFFFFF"/>
        </w:rPr>
        <w:t>23</w:t>
      </w:r>
      <w:r w:rsidRPr="00563E45">
        <w:rPr>
          <w:rFonts w:eastAsia="Times New Roman" w:cstheme="minorHAnsi"/>
          <w:color w:val="000000"/>
          <w:sz w:val="20"/>
          <w:szCs w:val="20"/>
          <w:shd w:val="clear" w:color="auto" w:fill="FFFFFF"/>
        </w:rPr>
        <w:t>(3), 455-460. Retrieved October 7, 2020, from http://www.jstor.org/stable/24573172</w:t>
      </w:r>
    </w:p>
  </w:footnote>
  <w:footnote w:id="26">
    <w:p w14:paraId="26484C55" w14:textId="77777777" w:rsidR="00B434DE" w:rsidRPr="00563E45" w:rsidRDefault="00B434DE" w:rsidP="00326F95">
      <w:pPr>
        <w:rPr>
          <w:rFonts w:eastAsia="Times New Roman" w:cstheme="minorHAnsi"/>
          <w:color w:val="000000" w:themeColor="text1"/>
          <w:sz w:val="20"/>
          <w:szCs w:val="20"/>
        </w:rPr>
      </w:pPr>
      <w:r w:rsidRPr="00563E45">
        <w:rPr>
          <w:rStyle w:val="FootnoteReference"/>
          <w:rFonts w:cstheme="minorHAnsi"/>
          <w:color w:val="000000" w:themeColor="text1"/>
          <w:sz w:val="20"/>
          <w:szCs w:val="20"/>
        </w:rPr>
        <w:footnoteRef/>
      </w:r>
      <w:r w:rsidRPr="00563E45">
        <w:rPr>
          <w:rFonts w:cstheme="minorHAnsi"/>
          <w:color w:val="000000" w:themeColor="text1"/>
          <w:sz w:val="20"/>
          <w:szCs w:val="20"/>
        </w:rPr>
        <w:t xml:space="preserve"> </w:t>
      </w:r>
      <w:proofErr w:type="spellStart"/>
      <w:r w:rsidRPr="00563E45">
        <w:rPr>
          <w:rFonts w:eastAsia="Times New Roman" w:cstheme="minorHAnsi"/>
          <w:color w:val="000000" w:themeColor="text1"/>
          <w:sz w:val="20"/>
          <w:szCs w:val="20"/>
          <w:shd w:val="clear" w:color="auto" w:fill="FFFFFF"/>
        </w:rPr>
        <w:t>Leemann</w:t>
      </w:r>
      <w:proofErr w:type="spellEnd"/>
      <w:r w:rsidRPr="00563E45">
        <w:rPr>
          <w:rFonts w:eastAsia="Times New Roman" w:cstheme="minorHAnsi"/>
          <w:color w:val="000000" w:themeColor="text1"/>
          <w:sz w:val="20"/>
          <w:szCs w:val="20"/>
          <w:shd w:val="clear" w:color="auto" w:fill="FFFFFF"/>
        </w:rPr>
        <w:t xml:space="preserve">, L. and </w:t>
      </w:r>
      <w:proofErr w:type="spellStart"/>
      <w:r w:rsidRPr="00563E45">
        <w:rPr>
          <w:rFonts w:eastAsia="Times New Roman" w:cstheme="minorHAnsi"/>
          <w:color w:val="000000" w:themeColor="text1"/>
          <w:sz w:val="20"/>
          <w:szCs w:val="20"/>
          <w:shd w:val="clear" w:color="auto" w:fill="FFFFFF"/>
        </w:rPr>
        <w:t>Wasserfallen</w:t>
      </w:r>
      <w:proofErr w:type="spellEnd"/>
      <w:r w:rsidRPr="00563E45">
        <w:rPr>
          <w:rFonts w:eastAsia="Times New Roman" w:cstheme="minorHAnsi"/>
          <w:color w:val="000000" w:themeColor="text1"/>
          <w:sz w:val="20"/>
          <w:szCs w:val="20"/>
          <w:shd w:val="clear" w:color="auto" w:fill="FFFFFF"/>
        </w:rPr>
        <w:t>, F. (2017), Extending the Use and Prediction Precision of Subnational Public Opinion Estimation. American Journal of Political Science, 61: 1003-1022. doi:</w:t>
      </w:r>
      <w:hyperlink r:id="rId5" w:history="1">
        <w:r w:rsidRPr="00563E45">
          <w:rPr>
            <w:rFonts w:eastAsia="Times New Roman" w:cstheme="minorHAnsi"/>
            <w:color w:val="000000" w:themeColor="text1"/>
            <w:sz w:val="20"/>
            <w:szCs w:val="20"/>
            <w:u w:val="single"/>
            <w:shd w:val="clear" w:color="auto" w:fill="FFFFFF"/>
          </w:rPr>
          <w:t>10.1111/ajps.12319</w:t>
        </w:r>
      </w:hyperlink>
    </w:p>
  </w:footnote>
  <w:footnote w:id="27">
    <w:p w14:paraId="3EA52F59" w14:textId="77777777" w:rsidR="00B434DE" w:rsidRPr="00563E45" w:rsidRDefault="00B434DE" w:rsidP="00326F95">
      <w:pPr>
        <w:pStyle w:val="FootnoteText"/>
        <w:rPr>
          <w:color w:val="000000" w:themeColor="text1"/>
        </w:rPr>
      </w:pPr>
      <w:r w:rsidRPr="00563E45">
        <w:rPr>
          <w:rStyle w:val="FootnoteReference"/>
          <w:rFonts w:cstheme="minorHAnsi"/>
          <w:color w:val="000000" w:themeColor="text1"/>
        </w:rPr>
        <w:footnoteRef/>
      </w:r>
      <w:r w:rsidRPr="00563E45">
        <w:rPr>
          <w:rFonts w:cstheme="minorHAnsi"/>
          <w:color w:val="000000" w:themeColor="text1"/>
        </w:rPr>
        <w:t xml:space="preserve"> </w:t>
      </w:r>
      <w:proofErr w:type="spellStart"/>
      <w:r w:rsidRPr="00563E45">
        <w:rPr>
          <w:rFonts w:cstheme="minorHAnsi"/>
          <w:color w:val="000000" w:themeColor="text1"/>
        </w:rPr>
        <w:t>Lipps</w:t>
      </w:r>
      <w:proofErr w:type="spellEnd"/>
      <w:r w:rsidRPr="00563E45">
        <w:rPr>
          <w:rFonts w:cstheme="minorHAnsi"/>
          <w:color w:val="000000" w:themeColor="text1"/>
        </w:rPr>
        <w:t xml:space="preserve">, J., &amp; </w:t>
      </w:r>
      <w:proofErr w:type="spellStart"/>
      <w:r w:rsidRPr="00563E45">
        <w:rPr>
          <w:rFonts w:cstheme="minorHAnsi"/>
          <w:color w:val="000000" w:themeColor="text1"/>
        </w:rPr>
        <w:t>Schraff</w:t>
      </w:r>
      <w:proofErr w:type="spellEnd"/>
      <w:r w:rsidRPr="00563E45">
        <w:rPr>
          <w:rFonts w:cstheme="minorHAnsi"/>
          <w:color w:val="000000" w:themeColor="text1"/>
        </w:rPr>
        <w:t>, D. (2019). Estimating subnational preferences across the European Union. Political Science Research and Methods, 1-9. doi:10.1017/psrm.2019.38</w:t>
      </w:r>
    </w:p>
  </w:footnote>
  <w:footnote w:id="28">
    <w:p w14:paraId="62163455" w14:textId="77777777" w:rsidR="00B434DE" w:rsidRPr="00563E45" w:rsidRDefault="00B434DE" w:rsidP="00326F95">
      <w:pPr>
        <w:rPr>
          <w:rFonts w:eastAsia="Times New Roman" w:cstheme="minorHAnsi"/>
          <w:color w:val="000000" w:themeColor="text1"/>
          <w:sz w:val="20"/>
          <w:szCs w:val="20"/>
        </w:rPr>
      </w:pPr>
      <w:r w:rsidRPr="00563E45">
        <w:rPr>
          <w:rStyle w:val="FootnoteReference"/>
          <w:rFonts w:cstheme="minorHAnsi"/>
          <w:color w:val="000000" w:themeColor="text1"/>
          <w:sz w:val="20"/>
          <w:szCs w:val="20"/>
        </w:rPr>
        <w:footnoteRef/>
      </w:r>
      <w:r w:rsidRPr="00563E45">
        <w:rPr>
          <w:rFonts w:cstheme="minorHAnsi"/>
          <w:color w:val="000000" w:themeColor="text1"/>
          <w:sz w:val="20"/>
          <w:szCs w:val="20"/>
        </w:rPr>
        <w:t xml:space="preserve"> </w:t>
      </w:r>
      <w:r w:rsidRPr="00563E45">
        <w:rPr>
          <w:rFonts w:eastAsia="Times New Roman" w:cstheme="minorHAnsi"/>
          <w:color w:val="000000" w:themeColor="text1"/>
          <w:sz w:val="20"/>
          <w:szCs w:val="20"/>
          <w:shd w:val="clear" w:color="auto" w:fill="FFFFFF"/>
        </w:rPr>
        <w:t>Gelman, A., Lee, D., &amp; Guo, J. (2015). Stan: A Probabilistic Programming Language for Bayesian Inference and Optimization. </w:t>
      </w:r>
      <w:r w:rsidRPr="00563E45">
        <w:rPr>
          <w:rFonts w:eastAsia="Times New Roman" w:cstheme="minorHAnsi"/>
          <w:i/>
          <w:iCs/>
          <w:color w:val="000000" w:themeColor="text1"/>
          <w:sz w:val="20"/>
          <w:szCs w:val="20"/>
          <w:shd w:val="clear" w:color="auto" w:fill="FFFFFF"/>
        </w:rPr>
        <w:t>Journal of Educational and Behavioral Statistics,</w:t>
      </w:r>
      <w:r w:rsidRPr="00563E45">
        <w:rPr>
          <w:rFonts w:eastAsia="Times New Roman" w:cstheme="minorHAnsi"/>
          <w:color w:val="000000" w:themeColor="text1"/>
          <w:sz w:val="20"/>
          <w:szCs w:val="20"/>
          <w:shd w:val="clear" w:color="auto" w:fill="FFFFFF"/>
        </w:rPr>
        <w:t> </w:t>
      </w:r>
      <w:r w:rsidRPr="00563E45">
        <w:rPr>
          <w:rFonts w:eastAsia="Times New Roman" w:cstheme="minorHAnsi"/>
          <w:i/>
          <w:iCs/>
          <w:color w:val="000000" w:themeColor="text1"/>
          <w:sz w:val="20"/>
          <w:szCs w:val="20"/>
          <w:shd w:val="clear" w:color="auto" w:fill="FFFFFF"/>
        </w:rPr>
        <w:t>40</w:t>
      </w:r>
      <w:r w:rsidRPr="00563E45">
        <w:rPr>
          <w:rFonts w:eastAsia="Times New Roman" w:cstheme="minorHAnsi"/>
          <w:color w:val="000000" w:themeColor="text1"/>
          <w:sz w:val="20"/>
          <w:szCs w:val="20"/>
          <w:shd w:val="clear" w:color="auto" w:fill="FFFFFF"/>
        </w:rPr>
        <w:t>(5), 530-543. Retrieved October 7, 2020, from http://www.jstor.org/stable/43966398</w:t>
      </w:r>
    </w:p>
  </w:footnote>
  <w:footnote w:id="29">
    <w:p w14:paraId="5B5363BE" w14:textId="77777777" w:rsidR="00084DD1" w:rsidRPr="00563E45" w:rsidRDefault="00084DD1" w:rsidP="00084DD1">
      <w:pPr>
        <w:rPr>
          <w:rFonts w:eastAsia="Times New Roman" w:cstheme="minorHAnsi"/>
          <w:color w:val="000000" w:themeColor="text1"/>
          <w:sz w:val="20"/>
          <w:szCs w:val="20"/>
        </w:rPr>
      </w:pPr>
      <w:r w:rsidRPr="00563E45">
        <w:rPr>
          <w:rStyle w:val="FootnoteReference"/>
          <w:rFonts w:cstheme="minorHAnsi"/>
          <w:color w:val="000000" w:themeColor="text1"/>
          <w:sz w:val="20"/>
          <w:szCs w:val="20"/>
        </w:rPr>
        <w:footnoteRef/>
      </w:r>
      <w:r w:rsidRPr="00563E45">
        <w:rPr>
          <w:rFonts w:cstheme="minorHAnsi"/>
          <w:color w:val="000000" w:themeColor="text1"/>
          <w:sz w:val="20"/>
          <w:szCs w:val="20"/>
        </w:rPr>
        <w:t xml:space="preserve"> </w:t>
      </w:r>
      <w:proofErr w:type="spellStart"/>
      <w:r w:rsidRPr="00563E45">
        <w:rPr>
          <w:rFonts w:eastAsia="Times New Roman" w:cstheme="minorHAnsi"/>
          <w:color w:val="000000" w:themeColor="text1"/>
          <w:sz w:val="20"/>
          <w:szCs w:val="20"/>
          <w:shd w:val="clear" w:color="auto" w:fill="FFFFFF"/>
        </w:rPr>
        <w:t>Christofides</w:t>
      </w:r>
      <w:proofErr w:type="spellEnd"/>
      <w:r w:rsidRPr="00563E45">
        <w:rPr>
          <w:rFonts w:eastAsia="Times New Roman" w:cstheme="minorHAnsi"/>
          <w:color w:val="000000" w:themeColor="text1"/>
          <w:sz w:val="20"/>
          <w:szCs w:val="20"/>
          <w:shd w:val="clear" w:color="auto" w:fill="FFFFFF"/>
        </w:rPr>
        <w:t xml:space="preserve">, </w:t>
      </w:r>
      <w:proofErr w:type="spellStart"/>
      <w:r w:rsidRPr="00563E45">
        <w:rPr>
          <w:rFonts w:eastAsia="Times New Roman" w:cstheme="minorHAnsi"/>
          <w:color w:val="000000" w:themeColor="text1"/>
          <w:sz w:val="20"/>
          <w:szCs w:val="20"/>
          <w:shd w:val="clear" w:color="auto" w:fill="FFFFFF"/>
        </w:rPr>
        <w:t>Tasos</w:t>
      </w:r>
      <w:proofErr w:type="spellEnd"/>
      <w:r w:rsidRPr="00563E45">
        <w:rPr>
          <w:rFonts w:eastAsia="Times New Roman" w:cstheme="minorHAnsi"/>
          <w:color w:val="000000" w:themeColor="text1"/>
          <w:sz w:val="20"/>
          <w:szCs w:val="20"/>
          <w:shd w:val="clear" w:color="auto" w:fill="FFFFFF"/>
        </w:rPr>
        <w:t>, et al. "The 2009 European Parliament elections: From votes to seats in 27 ways." </w:t>
      </w:r>
      <w:r w:rsidRPr="00563E45">
        <w:rPr>
          <w:rFonts w:eastAsia="Times New Roman" w:cstheme="minorHAnsi"/>
          <w:i/>
          <w:iCs/>
          <w:color w:val="000000" w:themeColor="text1"/>
          <w:sz w:val="20"/>
          <w:szCs w:val="20"/>
          <w:shd w:val="clear" w:color="auto" w:fill="FFFFFF"/>
        </w:rPr>
        <w:t>European Electoral Studies</w:t>
      </w:r>
      <w:r w:rsidRPr="00563E45">
        <w:rPr>
          <w:rFonts w:eastAsia="Times New Roman" w:cstheme="minorHAnsi"/>
          <w:color w:val="000000" w:themeColor="text1"/>
          <w:sz w:val="20"/>
          <w:szCs w:val="20"/>
          <w:shd w:val="clear" w:color="auto" w:fill="FFFFFF"/>
        </w:rPr>
        <w:t> 5.2 (2010): 148-182.</w:t>
      </w:r>
    </w:p>
  </w:footnote>
  <w:footnote w:id="30">
    <w:p w14:paraId="2926545B" w14:textId="77777777" w:rsidR="00084DD1" w:rsidRPr="00563E45" w:rsidRDefault="00084DD1" w:rsidP="00084DD1">
      <w:pPr>
        <w:pStyle w:val="FootnoteText"/>
      </w:pPr>
      <w:r w:rsidRPr="00563E45">
        <w:rPr>
          <w:rStyle w:val="FootnoteReference"/>
        </w:rPr>
        <w:footnoteRef/>
      </w:r>
      <w:r w:rsidRPr="00563E45">
        <w:t xml:space="preserve"> Lax, J. R., Phillips, J. H., &amp; </w:t>
      </w:r>
      <w:proofErr w:type="spellStart"/>
      <w:r w:rsidRPr="00563E45">
        <w:t>Zelizer</w:t>
      </w:r>
      <w:proofErr w:type="spellEnd"/>
      <w:r w:rsidRPr="00563E45">
        <w:t>, A (2019)</w:t>
      </w:r>
    </w:p>
  </w:footnote>
  <w:footnote w:id="31">
    <w:p w14:paraId="406661C3" w14:textId="4EDB8F90" w:rsidR="00D3230B" w:rsidRPr="00563E45" w:rsidRDefault="00D3230B" w:rsidP="00D3230B">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Bowler, S. &amp; Farrell, D.M. (1993). Legislator Shirking and Voter Monitoring: Impacts of European Parliament Electoral Systems upon Legislator-Voter Relationships. </w:t>
      </w:r>
      <w:r w:rsidRPr="00563E45">
        <w:rPr>
          <w:i/>
          <w:iCs/>
          <w:sz w:val="20"/>
          <w:szCs w:val="20"/>
        </w:rPr>
        <w:t>JCMS: Journal of Common Market Studies</w:t>
      </w:r>
      <w:r w:rsidRPr="00563E45">
        <w:rPr>
          <w:sz w:val="20"/>
          <w:szCs w:val="20"/>
        </w:rPr>
        <w:t xml:space="preserve">, </w:t>
      </w:r>
      <w:r w:rsidRPr="00563E45">
        <w:rPr>
          <w:i/>
          <w:iCs/>
          <w:sz w:val="20"/>
          <w:szCs w:val="20"/>
        </w:rPr>
        <w:t>31</w:t>
      </w:r>
      <w:r w:rsidRPr="00563E45">
        <w:rPr>
          <w:sz w:val="20"/>
          <w:szCs w:val="20"/>
        </w:rPr>
        <w:t>(1), 45–70. https://doi.org/10.1111/j.1468-5965.1993.tb00447.x</w:t>
      </w:r>
    </w:p>
    <w:p w14:paraId="75FB2A84" w14:textId="32C13CE0" w:rsidR="00D3230B" w:rsidRPr="00563E45" w:rsidRDefault="00D3230B">
      <w:pPr>
        <w:pStyle w:val="FootnoteText"/>
      </w:pPr>
    </w:p>
  </w:footnote>
  <w:footnote w:id="32">
    <w:p w14:paraId="79E137AA" w14:textId="7AB9DBED" w:rsidR="00F17195" w:rsidRPr="00563E45" w:rsidRDefault="00F17195" w:rsidP="00BC5992">
      <w:pPr>
        <w:pStyle w:val="NoSpacing"/>
        <w:rPr>
          <w:sz w:val="20"/>
          <w:szCs w:val="20"/>
        </w:rPr>
      </w:pPr>
      <w:r w:rsidRPr="00563E45">
        <w:rPr>
          <w:rStyle w:val="FootnoteReference"/>
          <w:sz w:val="20"/>
          <w:szCs w:val="20"/>
        </w:rPr>
        <w:footnoteRef/>
      </w:r>
      <w:r w:rsidRPr="00563E45">
        <w:rPr>
          <w:sz w:val="20"/>
          <w:szCs w:val="20"/>
        </w:rPr>
        <w:t xml:space="preserve"> Farrell, D. M., &amp; Scully, R. (2010). The European Parliament: one parliament, several modes of political representation on the ground? </w:t>
      </w:r>
      <w:r w:rsidRPr="00563E45">
        <w:rPr>
          <w:i/>
          <w:iCs/>
          <w:sz w:val="20"/>
          <w:szCs w:val="20"/>
        </w:rPr>
        <w:t>Journal of European Public Policy</w:t>
      </w:r>
      <w:r w:rsidRPr="00563E45">
        <w:rPr>
          <w:sz w:val="20"/>
          <w:szCs w:val="20"/>
        </w:rPr>
        <w:t xml:space="preserve">, </w:t>
      </w:r>
      <w:r w:rsidRPr="00563E45">
        <w:rPr>
          <w:i/>
          <w:iCs/>
          <w:sz w:val="20"/>
          <w:szCs w:val="20"/>
        </w:rPr>
        <w:t>17</w:t>
      </w:r>
      <w:r w:rsidRPr="00563E45">
        <w:rPr>
          <w:sz w:val="20"/>
          <w:szCs w:val="20"/>
        </w:rPr>
        <w:t>(1), 36–54. https://doi.org/10.1080/13501760903465173</w:t>
      </w:r>
    </w:p>
  </w:footnote>
  <w:footnote w:id="33">
    <w:p w14:paraId="710749C9" w14:textId="77777777" w:rsidR="00563E45" w:rsidRPr="00563E45" w:rsidRDefault="00563E45" w:rsidP="00563E45">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Marsh, M., &amp; Norris, P. (1997). Political representation in the European Parliament. </w:t>
      </w:r>
      <w:r w:rsidRPr="00563E45">
        <w:rPr>
          <w:i/>
          <w:iCs/>
          <w:sz w:val="20"/>
          <w:szCs w:val="20"/>
        </w:rPr>
        <w:t>European Journal of Political Research</w:t>
      </w:r>
      <w:r w:rsidRPr="00563E45">
        <w:rPr>
          <w:sz w:val="20"/>
          <w:szCs w:val="20"/>
        </w:rPr>
        <w:t xml:space="preserve">, </w:t>
      </w:r>
      <w:r w:rsidRPr="00563E45">
        <w:rPr>
          <w:i/>
          <w:iCs/>
          <w:sz w:val="20"/>
          <w:szCs w:val="20"/>
        </w:rPr>
        <w:t>32</w:t>
      </w:r>
      <w:r w:rsidRPr="00563E45">
        <w:rPr>
          <w:sz w:val="20"/>
          <w:szCs w:val="20"/>
        </w:rPr>
        <w:t>(2), 153–164. https://doi.org/10.1111/1475-6765.00336</w:t>
      </w:r>
    </w:p>
    <w:p w14:paraId="0E03EE1C" w14:textId="3FA6A0A0" w:rsidR="00563E45" w:rsidRPr="00563E45" w:rsidRDefault="00563E45">
      <w:pPr>
        <w:pStyle w:val="FootnoteText"/>
      </w:pPr>
    </w:p>
  </w:footnote>
  <w:footnote w:id="34">
    <w:p w14:paraId="41F8CAFF" w14:textId="587B5182" w:rsidR="0027503F" w:rsidRDefault="0027503F">
      <w:pPr>
        <w:pStyle w:val="FootnoteText"/>
      </w:pPr>
      <w:r>
        <w:rPr>
          <w:rStyle w:val="FootnoteReference"/>
        </w:rPr>
        <w:footnoteRef/>
      </w:r>
      <w:r>
        <w:t xml:space="preserve"> Farrell, D.M. and Scully, R. (2010)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2C1"/>
    <w:multiLevelType w:val="hybridMultilevel"/>
    <w:tmpl w:val="CDA83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0761B"/>
    <w:multiLevelType w:val="hybridMultilevel"/>
    <w:tmpl w:val="8F92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021C0E"/>
    <w:multiLevelType w:val="hybridMultilevel"/>
    <w:tmpl w:val="5B7AB1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9544EB"/>
    <w:multiLevelType w:val="hybridMultilevel"/>
    <w:tmpl w:val="82F8E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010810"/>
    <w:multiLevelType w:val="hybridMultilevel"/>
    <w:tmpl w:val="8F761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88591A"/>
    <w:multiLevelType w:val="multilevel"/>
    <w:tmpl w:val="1CD6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5A9"/>
    <w:rsid w:val="00012B4A"/>
    <w:rsid w:val="000261A6"/>
    <w:rsid w:val="000666D5"/>
    <w:rsid w:val="000743C1"/>
    <w:rsid w:val="00075271"/>
    <w:rsid w:val="00084DD1"/>
    <w:rsid w:val="0009267D"/>
    <w:rsid w:val="00097072"/>
    <w:rsid w:val="000A2B31"/>
    <w:rsid w:val="000B01F8"/>
    <w:rsid w:val="000C7B73"/>
    <w:rsid w:val="000E6D71"/>
    <w:rsid w:val="00116A87"/>
    <w:rsid w:val="001345A9"/>
    <w:rsid w:val="001451A9"/>
    <w:rsid w:val="00147A7C"/>
    <w:rsid w:val="001673B5"/>
    <w:rsid w:val="00171CE1"/>
    <w:rsid w:val="0017288C"/>
    <w:rsid w:val="00183060"/>
    <w:rsid w:val="001A544C"/>
    <w:rsid w:val="001C139D"/>
    <w:rsid w:val="001D4946"/>
    <w:rsid w:val="001E6B56"/>
    <w:rsid w:val="00221054"/>
    <w:rsid w:val="00231ACC"/>
    <w:rsid w:val="00235BC5"/>
    <w:rsid w:val="0023666D"/>
    <w:rsid w:val="00272312"/>
    <w:rsid w:val="0027503F"/>
    <w:rsid w:val="00275B72"/>
    <w:rsid w:val="002822D6"/>
    <w:rsid w:val="0029109E"/>
    <w:rsid w:val="00292F1D"/>
    <w:rsid w:val="00293815"/>
    <w:rsid w:val="002B05F9"/>
    <w:rsid w:val="002E27F8"/>
    <w:rsid w:val="002E2F35"/>
    <w:rsid w:val="002E3D24"/>
    <w:rsid w:val="002E61EE"/>
    <w:rsid w:val="00300E81"/>
    <w:rsid w:val="00312981"/>
    <w:rsid w:val="00326F95"/>
    <w:rsid w:val="0033127C"/>
    <w:rsid w:val="0033338C"/>
    <w:rsid w:val="00384191"/>
    <w:rsid w:val="003F5BDD"/>
    <w:rsid w:val="00401AC2"/>
    <w:rsid w:val="004028A4"/>
    <w:rsid w:val="00425D0D"/>
    <w:rsid w:val="00430EA6"/>
    <w:rsid w:val="004435AE"/>
    <w:rsid w:val="00446741"/>
    <w:rsid w:val="004518CC"/>
    <w:rsid w:val="00457CE0"/>
    <w:rsid w:val="00461405"/>
    <w:rsid w:val="00471BA8"/>
    <w:rsid w:val="004930C8"/>
    <w:rsid w:val="00497D33"/>
    <w:rsid w:val="004A2A90"/>
    <w:rsid w:val="004B4025"/>
    <w:rsid w:val="004C744E"/>
    <w:rsid w:val="004D4954"/>
    <w:rsid w:val="004F7577"/>
    <w:rsid w:val="00507E90"/>
    <w:rsid w:val="00532368"/>
    <w:rsid w:val="00542A24"/>
    <w:rsid w:val="00543F64"/>
    <w:rsid w:val="005617FA"/>
    <w:rsid w:val="00562786"/>
    <w:rsid w:val="00563E45"/>
    <w:rsid w:val="00580D29"/>
    <w:rsid w:val="00583B77"/>
    <w:rsid w:val="00585275"/>
    <w:rsid w:val="00593CA7"/>
    <w:rsid w:val="00597355"/>
    <w:rsid w:val="005A41DE"/>
    <w:rsid w:val="005A6BD3"/>
    <w:rsid w:val="005B13A2"/>
    <w:rsid w:val="005C26EA"/>
    <w:rsid w:val="005D38C1"/>
    <w:rsid w:val="005E165D"/>
    <w:rsid w:val="005E6203"/>
    <w:rsid w:val="005F12C9"/>
    <w:rsid w:val="005F4EBE"/>
    <w:rsid w:val="005F55A3"/>
    <w:rsid w:val="006069D7"/>
    <w:rsid w:val="00614318"/>
    <w:rsid w:val="00647A21"/>
    <w:rsid w:val="006626D2"/>
    <w:rsid w:val="006644CD"/>
    <w:rsid w:val="006811F1"/>
    <w:rsid w:val="00684B55"/>
    <w:rsid w:val="00690F94"/>
    <w:rsid w:val="006A001C"/>
    <w:rsid w:val="006A07A3"/>
    <w:rsid w:val="006A5DC4"/>
    <w:rsid w:val="006B26FB"/>
    <w:rsid w:val="006B38D6"/>
    <w:rsid w:val="006B5953"/>
    <w:rsid w:val="006C2E0C"/>
    <w:rsid w:val="006C6EAA"/>
    <w:rsid w:val="006E311F"/>
    <w:rsid w:val="006E372D"/>
    <w:rsid w:val="006E7426"/>
    <w:rsid w:val="00732987"/>
    <w:rsid w:val="007469D2"/>
    <w:rsid w:val="00761F3B"/>
    <w:rsid w:val="007848B0"/>
    <w:rsid w:val="007B3833"/>
    <w:rsid w:val="007B3982"/>
    <w:rsid w:val="007C241E"/>
    <w:rsid w:val="007D37D8"/>
    <w:rsid w:val="008168F0"/>
    <w:rsid w:val="00833582"/>
    <w:rsid w:val="00850886"/>
    <w:rsid w:val="00852F32"/>
    <w:rsid w:val="0088066E"/>
    <w:rsid w:val="00890B5D"/>
    <w:rsid w:val="008A49DA"/>
    <w:rsid w:val="008E369F"/>
    <w:rsid w:val="00911C84"/>
    <w:rsid w:val="009179D0"/>
    <w:rsid w:val="0092474B"/>
    <w:rsid w:val="0093234F"/>
    <w:rsid w:val="0093463F"/>
    <w:rsid w:val="0094369F"/>
    <w:rsid w:val="00955650"/>
    <w:rsid w:val="00972F8F"/>
    <w:rsid w:val="009876E5"/>
    <w:rsid w:val="009B0F99"/>
    <w:rsid w:val="009D03A6"/>
    <w:rsid w:val="009D0E9D"/>
    <w:rsid w:val="009F7367"/>
    <w:rsid w:val="00A01611"/>
    <w:rsid w:val="00A04393"/>
    <w:rsid w:val="00A20D3B"/>
    <w:rsid w:val="00A272B0"/>
    <w:rsid w:val="00A32759"/>
    <w:rsid w:val="00A33051"/>
    <w:rsid w:val="00A5071C"/>
    <w:rsid w:val="00A544D0"/>
    <w:rsid w:val="00A646CD"/>
    <w:rsid w:val="00A64CA6"/>
    <w:rsid w:val="00A679A4"/>
    <w:rsid w:val="00A74EBE"/>
    <w:rsid w:val="00A76C7F"/>
    <w:rsid w:val="00A905C4"/>
    <w:rsid w:val="00A9138E"/>
    <w:rsid w:val="00A946B5"/>
    <w:rsid w:val="00A97299"/>
    <w:rsid w:val="00AA2C6A"/>
    <w:rsid w:val="00AA2DE8"/>
    <w:rsid w:val="00AA728A"/>
    <w:rsid w:val="00AB47C6"/>
    <w:rsid w:val="00AB7665"/>
    <w:rsid w:val="00AD2869"/>
    <w:rsid w:val="00AD32E6"/>
    <w:rsid w:val="00AE6936"/>
    <w:rsid w:val="00AF342E"/>
    <w:rsid w:val="00B10E57"/>
    <w:rsid w:val="00B130A1"/>
    <w:rsid w:val="00B142CC"/>
    <w:rsid w:val="00B34381"/>
    <w:rsid w:val="00B434DE"/>
    <w:rsid w:val="00B442D4"/>
    <w:rsid w:val="00B44C6F"/>
    <w:rsid w:val="00B46F0A"/>
    <w:rsid w:val="00B47607"/>
    <w:rsid w:val="00B530AB"/>
    <w:rsid w:val="00B70546"/>
    <w:rsid w:val="00B7184F"/>
    <w:rsid w:val="00B732A1"/>
    <w:rsid w:val="00B7740B"/>
    <w:rsid w:val="00BA7EE1"/>
    <w:rsid w:val="00BC5992"/>
    <w:rsid w:val="00BD0B87"/>
    <w:rsid w:val="00BD515F"/>
    <w:rsid w:val="00BE4675"/>
    <w:rsid w:val="00BF2CB3"/>
    <w:rsid w:val="00C3400D"/>
    <w:rsid w:val="00C360A1"/>
    <w:rsid w:val="00C42BBD"/>
    <w:rsid w:val="00C432E2"/>
    <w:rsid w:val="00C43427"/>
    <w:rsid w:val="00C51185"/>
    <w:rsid w:val="00C572D1"/>
    <w:rsid w:val="00C703B7"/>
    <w:rsid w:val="00C90F65"/>
    <w:rsid w:val="00CA0CB5"/>
    <w:rsid w:val="00CA1958"/>
    <w:rsid w:val="00CB106A"/>
    <w:rsid w:val="00CD34A4"/>
    <w:rsid w:val="00CE0492"/>
    <w:rsid w:val="00CE6F50"/>
    <w:rsid w:val="00CF0479"/>
    <w:rsid w:val="00CF4CA4"/>
    <w:rsid w:val="00D1777F"/>
    <w:rsid w:val="00D231FF"/>
    <w:rsid w:val="00D27AC6"/>
    <w:rsid w:val="00D3230B"/>
    <w:rsid w:val="00D35CD7"/>
    <w:rsid w:val="00D36A10"/>
    <w:rsid w:val="00D37854"/>
    <w:rsid w:val="00D5055B"/>
    <w:rsid w:val="00D5077E"/>
    <w:rsid w:val="00D755B5"/>
    <w:rsid w:val="00D8391C"/>
    <w:rsid w:val="00D954C6"/>
    <w:rsid w:val="00DB4E2B"/>
    <w:rsid w:val="00DC038C"/>
    <w:rsid w:val="00DC6EE7"/>
    <w:rsid w:val="00DD6D09"/>
    <w:rsid w:val="00DF5A9A"/>
    <w:rsid w:val="00E00D96"/>
    <w:rsid w:val="00E05734"/>
    <w:rsid w:val="00E42B17"/>
    <w:rsid w:val="00E4542B"/>
    <w:rsid w:val="00E568B4"/>
    <w:rsid w:val="00E56E06"/>
    <w:rsid w:val="00E62C8B"/>
    <w:rsid w:val="00E64799"/>
    <w:rsid w:val="00E70115"/>
    <w:rsid w:val="00E77CB1"/>
    <w:rsid w:val="00E9357E"/>
    <w:rsid w:val="00E973E0"/>
    <w:rsid w:val="00EA0269"/>
    <w:rsid w:val="00EA7FFA"/>
    <w:rsid w:val="00EC6F17"/>
    <w:rsid w:val="00ED3D12"/>
    <w:rsid w:val="00EF75D2"/>
    <w:rsid w:val="00F13901"/>
    <w:rsid w:val="00F17195"/>
    <w:rsid w:val="00F327F9"/>
    <w:rsid w:val="00F41785"/>
    <w:rsid w:val="00F66F42"/>
    <w:rsid w:val="00F71EC8"/>
    <w:rsid w:val="00F72950"/>
    <w:rsid w:val="00F87146"/>
    <w:rsid w:val="00F91222"/>
    <w:rsid w:val="00F91C9C"/>
    <w:rsid w:val="00FA24CE"/>
    <w:rsid w:val="00FB1343"/>
    <w:rsid w:val="00FB61AD"/>
    <w:rsid w:val="00FC0F73"/>
    <w:rsid w:val="00FC5F0F"/>
    <w:rsid w:val="00FD36E6"/>
    <w:rsid w:val="00FE33CE"/>
    <w:rsid w:val="00FE540F"/>
    <w:rsid w:val="00FE6B30"/>
    <w:rsid w:val="00FE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79670D"/>
  <w15:chartTrackingRefBased/>
  <w15:docId w15:val="{7BEB8BE3-6E42-B04B-9356-88AE6A2E5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5A9"/>
    <w:rPr>
      <w:rFonts w:eastAsiaTheme="minorHAnsi"/>
      <w:lang w:eastAsia="en-US"/>
    </w:rPr>
  </w:style>
  <w:style w:type="paragraph" w:styleId="Heading1">
    <w:name w:val="heading 1"/>
    <w:basedOn w:val="Normal"/>
    <w:link w:val="Heading1Char"/>
    <w:uiPriority w:val="9"/>
    <w:qFormat/>
    <w:rsid w:val="00097072"/>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345A9"/>
    <w:rPr>
      <w:sz w:val="20"/>
      <w:szCs w:val="20"/>
    </w:rPr>
  </w:style>
  <w:style w:type="character" w:customStyle="1" w:styleId="FootnoteTextChar">
    <w:name w:val="Footnote Text Char"/>
    <w:basedOn w:val="DefaultParagraphFont"/>
    <w:link w:val="FootnoteText"/>
    <w:uiPriority w:val="99"/>
    <w:semiHidden/>
    <w:rsid w:val="001345A9"/>
    <w:rPr>
      <w:rFonts w:eastAsiaTheme="minorHAnsi"/>
      <w:sz w:val="20"/>
      <w:szCs w:val="20"/>
      <w:lang w:eastAsia="en-US"/>
    </w:rPr>
  </w:style>
  <w:style w:type="character" w:styleId="FootnoteReference">
    <w:name w:val="footnote reference"/>
    <w:basedOn w:val="DefaultParagraphFont"/>
    <w:uiPriority w:val="99"/>
    <w:semiHidden/>
    <w:unhideWhenUsed/>
    <w:rsid w:val="001345A9"/>
    <w:rPr>
      <w:vertAlign w:val="superscript"/>
    </w:rPr>
  </w:style>
  <w:style w:type="paragraph" w:styleId="NoSpacing">
    <w:name w:val="No Spacing"/>
    <w:uiPriority w:val="1"/>
    <w:qFormat/>
    <w:rsid w:val="001345A9"/>
    <w:rPr>
      <w:rFonts w:eastAsiaTheme="minorHAnsi"/>
      <w:lang w:eastAsia="en-US"/>
    </w:rPr>
  </w:style>
  <w:style w:type="paragraph" w:styleId="Header">
    <w:name w:val="header"/>
    <w:basedOn w:val="Normal"/>
    <w:link w:val="HeaderChar"/>
    <w:uiPriority w:val="99"/>
    <w:unhideWhenUsed/>
    <w:rsid w:val="00A544D0"/>
    <w:pPr>
      <w:tabs>
        <w:tab w:val="center" w:pos="4680"/>
        <w:tab w:val="right" w:pos="9360"/>
      </w:tabs>
    </w:pPr>
  </w:style>
  <w:style w:type="character" w:customStyle="1" w:styleId="HeaderChar">
    <w:name w:val="Header Char"/>
    <w:basedOn w:val="DefaultParagraphFont"/>
    <w:link w:val="Header"/>
    <w:uiPriority w:val="99"/>
    <w:rsid w:val="00A544D0"/>
    <w:rPr>
      <w:rFonts w:eastAsiaTheme="minorHAnsi"/>
      <w:lang w:eastAsia="en-US"/>
    </w:rPr>
  </w:style>
  <w:style w:type="paragraph" w:styleId="Footer">
    <w:name w:val="footer"/>
    <w:basedOn w:val="Normal"/>
    <w:link w:val="FooterChar"/>
    <w:uiPriority w:val="99"/>
    <w:unhideWhenUsed/>
    <w:rsid w:val="00A544D0"/>
    <w:pPr>
      <w:tabs>
        <w:tab w:val="center" w:pos="4680"/>
        <w:tab w:val="right" w:pos="9360"/>
      </w:tabs>
    </w:pPr>
  </w:style>
  <w:style w:type="character" w:customStyle="1" w:styleId="FooterChar">
    <w:name w:val="Footer Char"/>
    <w:basedOn w:val="DefaultParagraphFont"/>
    <w:link w:val="Footer"/>
    <w:uiPriority w:val="99"/>
    <w:rsid w:val="00A544D0"/>
    <w:rPr>
      <w:rFonts w:eastAsiaTheme="minorHAnsi"/>
      <w:lang w:eastAsia="en-US"/>
    </w:rPr>
  </w:style>
  <w:style w:type="paragraph" w:styleId="NormalWeb">
    <w:name w:val="Normal (Web)"/>
    <w:basedOn w:val="Normal"/>
    <w:uiPriority w:val="99"/>
    <w:unhideWhenUsed/>
    <w:rsid w:val="00AB47C6"/>
    <w:pPr>
      <w:spacing w:before="100" w:beforeAutospacing="1" w:after="100" w:afterAutospacing="1"/>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AB47C6"/>
    <w:rPr>
      <w:color w:val="0563C1" w:themeColor="hyperlink"/>
      <w:u w:val="single"/>
    </w:rPr>
  </w:style>
  <w:style w:type="character" w:styleId="UnresolvedMention">
    <w:name w:val="Unresolved Mention"/>
    <w:basedOn w:val="DefaultParagraphFont"/>
    <w:uiPriority w:val="99"/>
    <w:semiHidden/>
    <w:unhideWhenUsed/>
    <w:rsid w:val="00AB47C6"/>
    <w:rPr>
      <w:color w:val="605E5C"/>
      <w:shd w:val="clear" w:color="auto" w:fill="E1DFDD"/>
    </w:rPr>
  </w:style>
  <w:style w:type="character" w:styleId="FollowedHyperlink">
    <w:name w:val="FollowedHyperlink"/>
    <w:basedOn w:val="DefaultParagraphFont"/>
    <w:uiPriority w:val="99"/>
    <w:semiHidden/>
    <w:unhideWhenUsed/>
    <w:rsid w:val="00AB47C6"/>
    <w:rPr>
      <w:color w:val="954F72" w:themeColor="followedHyperlink"/>
      <w:u w:val="single"/>
    </w:rPr>
  </w:style>
  <w:style w:type="paragraph" w:styleId="ListParagraph">
    <w:name w:val="List Paragraph"/>
    <w:basedOn w:val="Normal"/>
    <w:uiPriority w:val="34"/>
    <w:qFormat/>
    <w:rsid w:val="0094369F"/>
    <w:pPr>
      <w:ind w:left="720"/>
      <w:contextualSpacing/>
    </w:pPr>
  </w:style>
  <w:style w:type="character" w:customStyle="1" w:styleId="Heading1Char">
    <w:name w:val="Heading 1 Char"/>
    <w:basedOn w:val="DefaultParagraphFont"/>
    <w:link w:val="Heading1"/>
    <w:uiPriority w:val="9"/>
    <w:rsid w:val="00097072"/>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097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92411">
      <w:bodyDiv w:val="1"/>
      <w:marLeft w:val="0"/>
      <w:marRight w:val="0"/>
      <w:marTop w:val="0"/>
      <w:marBottom w:val="0"/>
      <w:divBdr>
        <w:top w:val="none" w:sz="0" w:space="0" w:color="auto"/>
        <w:left w:val="none" w:sz="0" w:space="0" w:color="auto"/>
        <w:bottom w:val="none" w:sz="0" w:space="0" w:color="auto"/>
        <w:right w:val="none" w:sz="0" w:space="0" w:color="auto"/>
      </w:divBdr>
    </w:div>
    <w:div w:id="155462143">
      <w:bodyDiv w:val="1"/>
      <w:marLeft w:val="0"/>
      <w:marRight w:val="0"/>
      <w:marTop w:val="0"/>
      <w:marBottom w:val="0"/>
      <w:divBdr>
        <w:top w:val="none" w:sz="0" w:space="0" w:color="auto"/>
        <w:left w:val="none" w:sz="0" w:space="0" w:color="auto"/>
        <w:bottom w:val="none" w:sz="0" w:space="0" w:color="auto"/>
        <w:right w:val="none" w:sz="0" w:space="0" w:color="auto"/>
      </w:divBdr>
    </w:div>
    <w:div w:id="229771194">
      <w:bodyDiv w:val="1"/>
      <w:marLeft w:val="0"/>
      <w:marRight w:val="0"/>
      <w:marTop w:val="0"/>
      <w:marBottom w:val="0"/>
      <w:divBdr>
        <w:top w:val="none" w:sz="0" w:space="0" w:color="auto"/>
        <w:left w:val="none" w:sz="0" w:space="0" w:color="auto"/>
        <w:bottom w:val="none" w:sz="0" w:space="0" w:color="auto"/>
        <w:right w:val="none" w:sz="0" w:space="0" w:color="auto"/>
      </w:divBdr>
    </w:div>
    <w:div w:id="328798234">
      <w:bodyDiv w:val="1"/>
      <w:marLeft w:val="0"/>
      <w:marRight w:val="0"/>
      <w:marTop w:val="0"/>
      <w:marBottom w:val="0"/>
      <w:divBdr>
        <w:top w:val="none" w:sz="0" w:space="0" w:color="auto"/>
        <w:left w:val="none" w:sz="0" w:space="0" w:color="auto"/>
        <w:bottom w:val="none" w:sz="0" w:space="0" w:color="auto"/>
        <w:right w:val="none" w:sz="0" w:space="0" w:color="auto"/>
      </w:divBdr>
      <w:divsChild>
        <w:div w:id="1150629982">
          <w:marLeft w:val="0"/>
          <w:marRight w:val="0"/>
          <w:marTop w:val="0"/>
          <w:marBottom w:val="0"/>
          <w:divBdr>
            <w:top w:val="none" w:sz="0" w:space="0" w:color="auto"/>
            <w:left w:val="none" w:sz="0" w:space="0" w:color="auto"/>
            <w:bottom w:val="none" w:sz="0" w:space="0" w:color="auto"/>
            <w:right w:val="none" w:sz="0" w:space="0" w:color="auto"/>
          </w:divBdr>
          <w:divsChild>
            <w:div w:id="753742907">
              <w:marLeft w:val="0"/>
              <w:marRight w:val="0"/>
              <w:marTop w:val="0"/>
              <w:marBottom w:val="0"/>
              <w:divBdr>
                <w:top w:val="none" w:sz="0" w:space="0" w:color="auto"/>
                <w:left w:val="none" w:sz="0" w:space="0" w:color="auto"/>
                <w:bottom w:val="none" w:sz="0" w:space="0" w:color="auto"/>
                <w:right w:val="none" w:sz="0" w:space="0" w:color="auto"/>
              </w:divBdr>
              <w:divsChild>
                <w:div w:id="11860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18192">
      <w:bodyDiv w:val="1"/>
      <w:marLeft w:val="0"/>
      <w:marRight w:val="0"/>
      <w:marTop w:val="0"/>
      <w:marBottom w:val="0"/>
      <w:divBdr>
        <w:top w:val="none" w:sz="0" w:space="0" w:color="auto"/>
        <w:left w:val="none" w:sz="0" w:space="0" w:color="auto"/>
        <w:bottom w:val="none" w:sz="0" w:space="0" w:color="auto"/>
        <w:right w:val="none" w:sz="0" w:space="0" w:color="auto"/>
      </w:divBdr>
    </w:div>
    <w:div w:id="534121392">
      <w:bodyDiv w:val="1"/>
      <w:marLeft w:val="0"/>
      <w:marRight w:val="0"/>
      <w:marTop w:val="0"/>
      <w:marBottom w:val="0"/>
      <w:divBdr>
        <w:top w:val="none" w:sz="0" w:space="0" w:color="auto"/>
        <w:left w:val="none" w:sz="0" w:space="0" w:color="auto"/>
        <w:bottom w:val="none" w:sz="0" w:space="0" w:color="auto"/>
        <w:right w:val="none" w:sz="0" w:space="0" w:color="auto"/>
      </w:divBdr>
    </w:div>
    <w:div w:id="625896922">
      <w:bodyDiv w:val="1"/>
      <w:marLeft w:val="0"/>
      <w:marRight w:val="0"/>
      <w:marTop w:val="0"/>
      <w:marBottom w:val="0"/>
      <w:divBdr>
        <w:top w:val="none" w:sz="0" w:space="0" w:color="auto"/>
        <w:left w:val="none" w:sz="0" w:space="0" w:color="auto"/>
        <w:bottom w:val="none" w:sz="0" w:space="0" w:color="auto"/>
        <w:right w:val="none" w:sz="0" w:space="0" w:color="auto"/>
      </w:divBdr>
    </w:div>
    <w:div w:id="645088929">
      <w:bodyDiv w:val="1"/>
      <w:marLeft w:val="0"/>
      <w:marRight w:val="0"/>
      <w:marTop w:val="0"/>
      <w:marBottom w:val="0"/>
      <w:divBdr>
        <w:top w:val="none" w:sz="0" w:space="0" w:color="auto"/>
        <w:left w:val="none" w:sz="0" w:space="0" w:color="auto"/>
        <w:bottom w:val="none" w:sz="0" w:space="0" w:color="auto"/>
        <w:right w:val="none" w:sz="0" w:space="0" w:color="auto"/>
      </w:divBdr>
    </w:div>
    <w:div w:id="672728478">
      <w:bodyDiv w:val="1"/>
      <w:marLeft w:val="0"/>
      <w:marRight w:val="0"/>
      <w:marTop w:val="0"/>
      <w:marBottom w:val="0"/>
      <w:divBdr>
        <w:top w:val="none" w:sz="0" w:space="0" w:color="auto"/>
        <w:left w:val="none" w:sz="0" w:space="0" w:color="auto"/>
        <w:bottom w:val="none" w:sz="0" w:space="0" w:color="auto"/>
        <w:right w:val="none" w:sz="0" w:space="0" w:color="auto"/>
      </w:divBdr>
    </w:div>
    <w:div w:id="747994493">
      <w:bodyDiv w:val="1"/>
      <w:marLeft w:val="0"/>
      <w:marRight w:val="0"/>
      <w:marTop w:val="0"/>
      <w:marBottom w:val="0"/>
      <w:divBdr>
        <w:top w:val="none" w:sz="0" w:space="0" w:color="auto"/>
        <w:left w:val="none" w:sz="0" w:space="0" w:color="auto"/>
        <w:bottom w:val="none" w:sz="0" w:space="0" w:color="auto"/>
        <w:right w:val="none" w:sz="0" w:space="0" w:color="auto"/>
      </w:divBdr>
      <w:divsChild>
        <w:div w:id="1387025575">
          <w:marLeft w:val="0"/>
          <w:marRight w:val="0"/>
          <w:marTop w:val="0"/>
          <w:marBottom w:val="0"/>
          <w:divBdr>
            <w:top w:val="none" w:sz="0" w:space="0" w:color="auto"/>
            <w:left w:val="none" w:sz="0" w:space="0" w:color="auto"/>
            <w:bottom w:val="none" w:sz="0" w:space="0" w:color="auto"/>
            <w:right w:val="none" w:sz="0" w:space="0" w:color="auto"/>
          </w:divBdr>
          <w:divsChild>
            <w:div w:id="1868791726">
              <w:marLeft w:val="0"/>
              <w:marRight w:val="0"/>
              <w:marTop w:val="0"/>
              <w:marBottom w:val="0"/>
              <w:divBdr>
                <w:top w:val="none" w:sz="0" w:space="0" w:color="auto"/>
                <w:left w:val="none" w:sz="0" w:space="0" w:color="auto"/>
                <w:bottom w:val="none" w:sz="0" w:space="0" w:color="auto"/>
                <w:right w:val="none" w:sz="0" w:space="0" w:color="auto"/>
              </w:divBdr>
              <w:divsChild>
                <w:div w:id="16108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133340">
      <w:bodyDiv w:val="1"/>
      <w:marLeft w:val="0"/>
      <w:marRight w:val="0"/>
      <w:marTop w:val="0"/>
      <w:marBottom w:val="0"/>
      <w:divBdr>
        <w:top w:val="none" w:sz="0" w:space="0" w:color="auto"/>
        <w:left w:val="none" w:sz="0" w:space="0" w:color="auto"/>
        <w:bottom w:val="none" w:sz="0" w:space="0" w:color="auto"/>
        <w:right w:val="none" w:sz="0" w:space="0" w:color="auto"/>
      </w:divBdr>
      <w:divsChild>
        <w:div w:id="207227552">
          <w:marLeft w:val="0"/>
          <w:marRight w:val="0"/>
          <w:marTop w:val="0"/>
          <w:marBottom w:val="0"/>
          <w:divBdr>
            <w:top w:val="none" w:sz="0" w:space="0" w:color="auto"/>
            <w:left w:val="none" w:sz="0" w:space="0" w:color="auto"/>
            <w:bottom w:val="none" w:sz="0" w:space="0" w:color="auto"/>
            <w:right w:val="none" w:sz="0" w:space="0" w:color="auto"/>
          </w:divBdr>
          <w:divsChild>
            <w:div w:id="1334798260">
              <w:marLeft w:val="0"/>
              <w:marRight w:val="0"/>
              <w:marTop w:val="0"/>
              <w:marBottom w:val="0"/>
              <w:divBdr>
                <w:top w:val="none" w:sz="0" w:space="0" w:color="auto"/>
                <w:left w:val="none" w:sz="0" w:space="0" w:color="auto"/>
                <w:bottom w:val="none" w:sz="0" w:space="0" w:color="auto"/>
                <w:right w:val="none" w:sz="0" w:space="0" w:color="auto"/>
              </w:divBdr>
              <w:divsChild>
                <w:div w:id="7222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08971">
      <w:bodyDiv w:val="1"/>
      <w:marLeft w:val="0"/>
      <w:marRight w:val="0"/>
      <w:marTop w:val="0"/>
      <w:marBottom w:val="0"/>
      <w:divBdr>
        <w:top w:val="none" w:sz="0" w:space="0" w:color="auto"/>
        <w:left w:val="none" w:sz="0" w:space="0" w:color="auto"/>
        <w:bottom w:val="none" w:sz="0" w:space="0" w:color="auto"/>
        <w:right w:val="none" w:sz="0" w:space="0" w:color="auto"/>
      </w:divBdr>
      <w:divsChild>
        <w:div w:id="295836752">
          <w:marLeft w:val="0"/>
          <w:marRight w:val="0"/>
          <w:marTop w:val="0"/>
          <w:marBottom w:val="0"/>
          <w:divBdr>
            <w:top w:val="none" w:sz="0" w:space="0" w:color="auto"/>
            <w:left w:val="none" w:sz="0" w:space="0" w:color="auto"/>
            <w:bottom w:val="none" w:sz="0" w:space="0" w:color="auto"/>
            <w:right w:val="none" w:sz="0" w:space="0" w:color="auto"/>
          </w:divBdr>
          <w:divsChild>
            <w:div w:id="1372416288">
              <w:marLeft w:val="0"/>
              <w:marRight w:val="0"/>
              <w:marTop w:val="0"/>
              <w:marBottom w:val="0"/>
              <w:divBdr>
                <w:top w:val="none" w:sz="0" w:space="0" w:color="auto"/>
                <w:left w:val="none" w:sz="0" w:space="0" w:color="auto"/>
                <w:bottom w:val="none" w:sz="0" w:space="0" w:color="auto"/>
                <w:right w:val="none" w:sz="0" w:space="0" w:color="auto"/>
              </w:divBdr>
              <w:divsChild>
                <w:div w:id="14549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3819">
      <w:bodyDiv w:val="1"/>
      <w:marLeft w:val="0"/>
      <w:marRight w:val="0"/>
      <w:marTop w:val="0"/>
      <w:marBottom w:val="0"/>
      <w:divBdr>
        <w:top w:val="none" w:sz="0" w:space="0" w:color="auto"/>
        <w:left w:val="none" w:sz="0" w:space="0" w:color="auto"/>
        <w:bottom w:val="none" w:sz="0" w:space="0" w:color="auto"/>
        <w:right w:val="none" w:sz="0" w:space="0" w:color="auto"/>
      </w:divBdr>
    </w:div>
    <w:div w:id="990795774">
      <w:bodyDiv w:val="1"/>
      <w:marLeft w:val="0"/>
      <w:marRight w:val="0"/>
      <w:marTop w:val="0"/>
      <w:marBottom w:val="0"/>
      <w:divBdr>
        <w:top w:val="none" w:sz="0" w:space="0" w:color="auto"/>
        <w:left w:val="none" w:sz="0" w:space="0" w:color="auto"/>
        <w:bottom w:val="none" w:sz="0" w:space="0" w:color="auto"/>
        <w:right w:val="none" w:sz="0" w:space="0" w:color="auto"/>
      </w:divBdr>
    </w:div>
    <w:div w:id="1047536049">
      <w:bodyDiv w:val="1"/>
      <w:marLeft w:val="0"/>
      <w:marRight w:val="0"/>
      <w:marTop w:val="0"/>
      <w:marBottom w:val="0"/>
      <w:divBdr>
        <w:top w:val="none" w:sz="0" w:space="0" w:color="auto"/>
        <w:left w:val="none" w:sz="0" w:space="0" w:color="auto"/>
        <w:bottom w:val="none" w:sz="0" w:space="0" w:color="auto"/>
        <w:right w:val="none" w:sz="0" w:space="0" w:color="auto"/>
      </w:divBdr>
    </w:div>
    <w:div w:id="1070153192">
      <w:bodyDiv w:val="1"/>
      <w:marLeft w:val="0"/>
      <w:marRight w:val="0"/>
      <w:marTop w:val="0"/>
      <w:marBottom w:val="0"/>
      <w:divBdr>
        <w:top w:val="none" w:sz="0" w:space="0" w:color="auto"/>
        <w:left w:val="none" w:sz="0" w:space="0" w:color="auto"/>
        <w:bottom w:val="none" w:sz="0" w:space="0" w:color="auto"/>
        <w:right w:val="none" w:sz="0" w:space="0" w:color="auto"/>
      </w:divBdr>
    </w:div>
    <w:div w:id="1145705751">
      <w:bodyDiv w:val="1"/>
      <w:marLeft w:val="0"/>
      <w:marRight w:val="0"/>
      <w:marTop w:val="0"/>
      <w:marBottom w:val="0"/>
      <w:divBdr>
        <w:top w:val="none" w:sz="0" w:space="0" w:color="auto"/>
        <w:left w:val="none" w:sz="0" w:space="0" w:color="auto"/>
        <w:bottom w:val="none" w:sz="0" w:space="0" w:color="auto"/>
        <w:right w:val="none" w:sz="0" w:space="0" w:color="auto"/>
      </w:divBdr>
    </w:div>
    <w:div w:id="1259093300">
      <w:bodyDiv w:val="1"/>
      <w:marLeft w:val="0"/>
      <w:marRight w:val="0"/>
      <w:marTop w:val="0"/>
      <w:marBottom w:val="0"/>
      <w:divBdr>
        <w:top w:val="none" w:sz="0" w:space="0" w:color="auto"/>
        <w:left w:val="none" w:sz="0" w:space="0" w:color="auto"/>
        <w:bottom w:val="none" w:sz="0" w:space="0" w:color="auto"/>
        <w:right w:val="none" w:sz="0" w:space="0" w:color="auto"/>
      </w:divBdr>
      <w:divsChild>
        <w:div w:id="1526092874">
          <w:marLeft w:val="0"/>
          <w:marRight w:val="0"/>
          <w:marTop w:val="0"/>
          <w:marBottom w:val="0"/>
          <w:divBdr>
            <w:top w:val="none" w:sz="0" w:space="0" w:color="auto"/>
            <w:left w:val="none" w:sz="0" w:space="0" w:color="auto"/>
            <w:bottom w:val="none" w:sz="0" w:space="0" w:color="auto"/>
            <w:right w:val="none" w:sz="0" w:space="0" w:color="auto"/>
          </w:divBdr>
          <w:divsChild>
            <w:div w:id="1534731889">
              <w:marLeft w:val="0"/>
              <w:marRight w:val="0"/>
              <w:marTop w:val="0"/>
              <w:marBottom w:val="0"/>
              <w:divBdr>
                <w:top w:val="none" w:sz="0" w:space="0" w:color="auto"/>
                <w:left w:val="none" w:sz="0" w:space="0" w:color="auto"/>
                <w:bottom w:val="none" w:sz="0" w:space="0" w:color="auto"/>
                <w:right w:val="none" w:sz="0" w:space="0" w:color="auto"/>
              </w:divBdr>
              <w:divsChild>
                <w:div w:id="8770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sChild>
        <w:div w:id="1915699703">
          <w:marLeft w:val="0"/>
          <w:marRight w:val="0"/>
          <w:marTop w:val="0"/>
          <w:marBottom w:val="0"/>
          <w:divBdr>
            <w:top w:val="none" w:sz="0" w:space="0" w:color="auto"/>
            <w:left w:val="none" w:sz="0" w:space="0" w:color="auto"/>
            <w:bottom w:val="none" w:sz="0" w:space="0" w:color="auto"/>
            <w:right w:val="none" w:sz="0" w:space="0" w:color="auto"/>
          </w:divBdr>
          <w:divsChild>
            <w:div w:id="563031083">
              <w:marLeft w:val="0"/>
              <w:marRight w:val="0"/>
              <w:marTop w:val="0"/>
              <w:marBottom w:val="0"/>
              <w:divBdr>
                <w:top w:val="none" w:sz="0" w:space="0" w:color="auto"/>
                <w:left w:val="none" w:sz="0" w:space="0" w:color="auto"/>
                <w:bottom w:val="none" w:sz="0" w:space="0" w:color="auto"/>
                <w:right w:val="none" w:sz="0" w:space="0" w:color="auto"/>
              </w:divBdr>
              <w:divsChild>
                <w:div w:id="9304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80079">
      <w:bodyDiv w:val="1"/>
      <w:marLeft w:val="0"/>
      <w:marRight w:val="0"/>
      <w:marTop w:val="0"/>
      <w:marBottom w:val="0"/>
      <w:divBdr>
        <w:top w:val="none" w:sz="0" w:space="0" w:color="auto"/>
        <w:left w:val="none" w:sz="0" w:space="0" w:color="auto"/>
        <w:bottom w:val="none" w:sz="0" w:space="0" w:color="auto"/>
        <w:right w:val="none" w:sz="0" w:space="0" w:color="auto"/>
      </w:divBdr>
    </w:div>
    <w:div w:id="1413893117">
      <w:bodyDiv w:val="1"/>
      <w:marLeft w:val="0"/>
      <w:marRight w:val="0"/>
      <w:marTop w:val="0"/>
      <w:marBottom w:val="0"/>
      <w:divBdr>
        <w:top w:val="none" w:sz="0" w:space="0" w:color="auto"/>
        <w:left w:val="none" w:sz="0" w:space="0" w:color="auto"/>
        <w:bottom w:val="none" w:sz="0" w:space="0" w:color="auto"/>
        <w:right w:val="none" w:sz="0" w:space="0" w:color="auto"/>
      </w:divBdr>
    </w:div>
    <w:div w:id="1715613936">
      <w:bodyDiv w:val="1"/>
      <w:marLeft w:val="0"/>
      <w:marRight w:val="0"/>
      <w:marTop w:val="0"/>
      <w:marBottom w:val="0"/>
      <w:divBdr>
        <w:top w:val="none" w:sz="0" w:space="0" w:color="auto"/>
        <w:left w:val="none" w:sz="0" w:space="0" w:color="auto"/>
        <w:bottom w:val="none" w:sz="0" w:space="0" w:color="auto"/>
        <w:right w:val="none" w:sz="0" w:space="0" w:color="auto"/>
      </w:divBdr>
      <w:divsChild>
        <w:div w:id="670723869">
          <w:marLeft w:val="0"/>
          <w:marRight w:val="0"/>
          <w:marTop w:val="0"/>
          <w:marBottom w:val="0"/>
          <w:divBdr>
            <w:top w:val="none" w:sz="0" w:space="0" w:color="auto"/>
            <w:left w:val="none" w:sz="0" w:space="0" w:color="auto"/>
            <w:bottom w:val="none" w:sz="0" w:space="0" w:color="auto"/>
            <w:right w:val="none" w:sz="0" w:space="0" w:color="auto"/>
          </w:divBdr>
          <w:divsChild>
            <w:div w:id="266933180">
              <w:marLeft w:val="0"/>
              <w:marRight w:val="0"/>
              <w:marTop w:val="0"/>
              <w:marBottom w:val="0"/>
              <w:divBdr>
                <w:top w:val="none" w:sz="0" w:space="0" w:color="auto"/>
                <w:left w:val="none" w:sz="0" w:space="0" w:color="auto"/>
                <w:bottom w:val="none" w:sz="0" w:space="0" w:color="auto"/>
                <w:right w:val="none" w:sz="0" w:space="0" w:color="auto"/>
              </w:divBdr>
              <w:divsChild>
                <w:div w:id="15945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44924">
      <w:bodyDiv w:val="1"/>
      <w:marLeft w:val="0"/>
      <w:marRight w:val="0"/>
      <w:marTop w:val="0"/>
      <w:marBottom w:val="0"/>
      <w:divBdr>
        <w:top w:val="none" w:sz="0" w:space="0" w:color="auto"/>
        <w:left w:val="none" w:sz="0" w:space="0" w:color="auto"/>
        <w:bottom w:val="none" w:sz="0" w:space="0" w:color="auto"/>
        <w:right w:val="none" w:sz="0" w:space="0" w:color="auto"/>
      </w:divBdr>
    </w:div>
    <w:div w:id="2003586080">
      <w:bodyDiv w:val="1"/>
      <w:marLeft w:val="0"/>
      <w:marRight w:val="0"/>
      <w:marTop w:val="0"/>
      <w:marBottom w:val="0"/>
      <w:divBdr>
        <w:top w:val="none" w:sz="0" w:space="0" w:color="auto"/>
        <w:left w:val="none" w:sz="0" w:space="0" w:color="auto"/>
        <w:bottom w:val="none" w:sz="0" w:space="0" w:color="auto"/>
        <w:right w:val="none" w:sz="0" w:space="0" w:color="auto"/>
      </w:divBdr>
    </w:div>
    <w:div w:id="2123838679">
      <w:bodyDiv w:val="1"/>
      <w:marLeft w:val="0"/>
      <w:marRight w:val="0"/>
      <w:marTop w:val="0"/>
      <w:marBottom w:val="0"/>
      <w:divBdr>
        <w:top w:val="none" w:sz="0" w:space="0" w:color="auto"/>
        <w:left w:val="none" w:sz="0" w:space="0" w:color="auto"/>
        <w:bottom w:val="none" w:sz="0" w:space="0" w:color="auto"/>
        <w:right w:val="none" w:sz="0" w:space="0" w:color="auto"/>
      </w:divBdr>
    </w:div>
    <w:div w:id="214049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ec.europa.eu/eurostat/web/population-and-housing-census/census-data/2011-census" TargetMode="External"/><Relationship Id="rId3" Type="http://schemas.openxmlformats.org/officeDocument/2006/relationships/settings" Target="settings.xml"/><Relationship Id="rId21" Type="http://schemas.openxmlformats.org/officeDocument/2006/relationships/hyperlink" Target="http://www.caneurope.org/publications/blogs/718-mep-scorecards-ranking-european-parliamentarians-on-climate-action" TargetMode="External"/><Relationship Id="rId7" Type="http://schemas.openxmlformats.org/officeDocument/2006/relationships/hyperlink" Target="mailto:gabriel.gilling@columbia.edu" TargetMode="External"/><Relationship Id="rId12" Type="http://schemas.openxmlformats.org/officeDocument/2006/relationships/image" Target="media/image5.jpeg"/><Relationship Id="rId17" Type="http://schemas.openxmlformats.org/officeDocument/2006/relationships/hyperlink" Target="https://dbk.gesis.org/dbksearch/gdesc2.asp?no=0008&amp;search=&amp;search2=&amp;db=e&amp;tab=0&amp;notabs=&amp;nf=1&amp;af=&amp;ll=10" TargetMode="External"/><Relationship Id="rId2" Type="http://schemas.openxmlformats.org/officeDocument/2006/relationships/styles" Target="styles.xml"/><Relationship Id="rId16" Type="http://schemas.openxmlformats.org/officeDocument/2006/relationships/hyperlink" Target="https://www.gesis.org/en/eurobarometer-data-service/survey-series/flash-eb" TargetMode="External"/><Relationship Id="rId20" Type="http://schemas.openxmlformats.org/officeDocument/2006/relationships/hyperlink" Target="https://parltrack.org/dum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c.europa.eu/eurostat/web/population-and-housing-census/census-data/databas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score-ep.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i.org/10.1111/j.1468-5965.2011.02229.x" TargetMode="External"/><Relationship Id="rId2" Type="http://schemas.openxmlformats.org/officeDocument/2006/relationships/hyperlink" Target="https://europa.eu/european-union/about-eu/institutions-bodies/european-parliament_en" TargetMode="External"/><Relationship Id="rId1" Type="http://schemas.openxmlformats.org/officeDocument/2006/relationships/hyperlink" Target="https://www.cvce.eu/obj/european_parliament-en-ad6a0d57-08ef-427d-a715-f6e3bfaf775a.html" TargetMode="External"/><Relationship Id="rId5" Type="http://schemas.openxmlformats.org/officeDocument/2006/relationships/hyperlink" Target="https://doi.org/10.1111/ajps.12319" TargetMode="External"/><Relationship Id="rId4" Type="http://schemas.openxmlformats.org/officeDocument/2006/relationships/hyperlink" Target="https://yougov.co.uk/topics/politics/articles-reports/2016/06/21/yougov-referendum-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26</Pages>
  <Words>4328</Words>
  <Characters>24673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Gilling</dc:creator>
  <cp:keywords/>
  <dc:description/>
  <cp:lastModifiedBy>Gabriel Gilling</cp:lastModifiedBy>
  <cp:revision>221</cp:revision>
  <dcterms:created xsi:type="dcterms:W3CDTF">2020-11-29T19:18:00Z</dcterms:created>
  <dcterms:modified xsi:type="dcterms:W3CDTF">2020-12-11T15:03:00Z</dcterms:modified>
</cp:coreProperties>
</file>