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ED8">
        <w:rPr>
          <w:rFonts w:ascii="Calibri" w:eastAsia="Times New Roman" w:hAnsi="Calibri" w:cs="Times New Roman"/>
          <w:b/>
          <w:bCs/>
          <w:color w:val="0B5394"/>
          <w:sz w:val="29"/>
          <w:szCs w:val="29"/>
          <w:u w:val="single"/>
          <w:rtl/>
        </w:rPr>
        <w:t>מסמך עיצוב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תיאור: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הפרויקט  הוא סוס טרויאני שמושתל על מכשירים בעלי מערכת הפעלה אנדרואיד גרסאות 2.2 עד 4.3.1.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השרת הוא אתר שיש להתחבר אליו עם שם משתמש וסיסמא. דרך האתר ניתן לראות מידע שנאסף לגבי הלקוח וגם לאפשר שליחה של פקודות מהמשתמש לגבי שינוי מידע- לדוגמא שליחת אסמס, ביצוע שיחה, הוספת קובץ ועוד.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rtl/>
        </w:rPr>
        <w:t>מבני נתונים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שרת: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אנשי קשר: מכילה את הרשומות הרלוונטיות (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TBD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) לכל איש קשר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יומן שיחות: מכילה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אודות הפלאפון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טבלת 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אסמסים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: מכילה מידע על כל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SMS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שנשלח או התקבל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הגדרות המכשיר: מכילה רשימה של כל ההגדרות הקיימות במכשיר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קובץ ובו רשימה של קבצים ותיקיות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טבלת אפליקציות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טבלה שמצביעה לרשימת קבצים + קבצים עצמם (יכווצו שישלחו)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טבלת מיקומי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GPS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לקוח: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טבלאות: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קבצים: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rtl/>
        </w:rPr>
        <w:t xml:space="preserve">לוגיקת </w:t>
      </w:r>
      <w:proofErr w:type="spellStart"/>
      <w:r w:rsidRPr="002B4ED8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rtl/>
        </w:rPr>
        <w:t>תוכנית</w:t>
      </w:r>
      <w:proofErr w:type="spellEnd"/>
      <w:r w:rsidRPr="002B4ED8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rtl/>
        </w:rPr>
        <w:t xml:space="preserve">  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לקוח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שליחת מידע: הלקוח ניגש אל כתובת ה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WEB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של השרת (לדוגמא: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evil-site.com/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gateway.php?send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) ושולח את המידע הרצוי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קבלת מידע: הלקוח ניגש אל כתובת ה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WEB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של השרת (לדוגמא: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evil-site.com/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gateway.php?receive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) ומקבל את המידע הרצוי עפ"י ה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ID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שלו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לאחר התקנה: בדיקת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emulator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– אם כן, השבתה של התוכנה, אם לא- נמשיך הלאה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לאחר התקנה: במידה ויש גישה לאינטרנט- שליחת התרעה לאתר (בתוך ההתרעה יהיה מידע התחלתי – אודות הטלפון, מצב סוללה, מיקום 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gps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). 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כל פעם שיש אינטרנט- שולחים מידע חדש לשרת ועדכון הטבלאות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כיווץ כל המידע בטרם שליחתו (לשקול: המרת תמונות לרזולוציה נמוכה\הקלטות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MP3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באיכות נמוכה)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lastRenderedPageBreak/>
        <w:t>במידה והחיבור הופסק בעת העברת המידע- שליחה מחדש לאחר חידוש החיבור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קריאת גיבויים מן הזיכרון של המכשיר</w:t>
      </w:r>
    </w:p>
    <w:p w:rsidR="002B4ED8" w:rsidRP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Privilege Escalation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: ע"י השגת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ROOT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או </w:t>
      </w:r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Device Administration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שרת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המשתמש מתחבר לאתר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האתר מציג לו מידע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הצגת מידע עפ"י החשיבות שלו (פרמטרים מוגדרים מראש, תדירות השימוש וכו')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מחיקת מידע מהלקוח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שליחת מידע אל הלקוח (קבצים\תוכנות\פקודות לביצוע)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מחיקת מידע מהשרת</w:t>
      </w:r>
    </w:p>
    <w:p w:rsidR="002B4ED8" w:rsidRPr="002B4ED8" w:rsidRDefault="002B4ED8" w:rsidP="002B4ED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בקשת קובץ מן הלקוח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u w:val="single"/>
          <w:rtl/>
        </w:rPr>
        <w:t>כללי</w:t>
      </w:r>
    </w:p>
    <w:p w:rsidR="002B4ED8" w:rsidRPr="002B4ED8" w:rsidRDefault="002B4ED8" w:rsidP="002B4E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אופציית 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</w:rPr>
        <w:t>wifi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- אם הטלפון לא בתנועה ויש 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וייפי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 xml:space="preserve"> פתוח –נתחבר אליו ונשלח נתונים. אחרי סיום שליחת הנתונים נסגור את </w:t>
      </w:r>
      <w:proofErr w:type="spellStart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הוייפי</w:t>
      </w:r>
      <w:proofErr w:type="spellEnd"/>
      <w:r w:rsidRPr="002B4ED8">
        <w:rPr>
          <w:rFonts w:ascii="Calibri" w:eastAsia="Times New Roman" w:hAnsi="Calibri" w:cs="Times New Roman"/>
          <w:color w:val="000000"/>
          <w:sz w:val="23"/>
          <w:szCs w:val="23"/>
          <w:rtl/>
        </w:rPr>
        <w:t>.</w:t>
      </w:r>
    </w:p>
    <w:p w:rsidR="008464FB" w:rsidRDefault="008464FB" w:rsidP="00E35A51">
      <w:pPr>
        <w:spacing w:line="360" w:lineRule="auto"/>
        <w:rPr>
          <w:rFonts w:asciiTheme="majorBidi" w:hAnsiTheme="majorBidi" w:cstheme="majorBidi" w:hint="cs"/>
          <w:rtl/>
        </w:rPr>
      </w:pPr>
    </w:p>
    <w:tbl>
      <w:tblPr>
        <w:tblStyle w:val="a3"/>
        <w:tblpPr w:leftFromText="180" w:rightFromText="180" w:vertAnchor="page" w:horzAnchor="margin" w:tblpY="2988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4ED8" w:rsidRPr="00E35A51" w:rsidTr="0094552E"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cs="David"/>
                <w:rtl/>
              </w:rPr>
              <w:t>פרטי הפונקציה</w:t>
            </w:r>
            <w:r w:rsidRPr="00E35A51">
              <w:rPr>
                <w:rFonts w:cs="David" w:hint="cs"/>
                <w:rtl/>
              </w:rPr>
              <w:t>:</w:t>
            </w:r>
          </w:p>
        </w:tc>
        <w:tc>
          <w:tcPr>
            <w:tcW w:w="4621" w:type="dxa"/>
          </w:tcPr>
          <w:p w:rsidR="002B4ED8" w:rsidRPr="00E35A51" w:rsidRDefault="002B4ED8" w:rsidP="0094552E">
            <w:pPr>
              <w:spacing w:line="360" w:lineRule="auto"/>
              <w:rPr>
                <w:rFonts w:ascii="Courier New" w:hAnsi="Courier New" w:cs="Courier New"/>
                <w:rtl/>
              </w:rPr>
            </w:pPr>
            <w:r w:rsidRPr="00E35A51">
              <w:rPr>
                <w:rFonts w:ascii="Courier New" w:hAnsi="Courier New" w:cs="Courier New"/>
                <w:rtl/>
              </w:rPr>
              <w:t>שם פונקציה:</w:t>
            </w:r>
          </w:p>
        </w:tc>
      </w:tr>
      <w:tr w:rsidR="002B4ED8" w:rsidRPr="00E35A51" w:rsidTr="0094552E">
        <w:trPr>
          <w:trHeight w:val="182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lastRenderedPageBreak/>
              <w:t>מבצע: שולח מידע לשרת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SendDataToServer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2B4ED8" w:rsidRPr="00E35A51" w:rsidTr="0094552E">
        <w:trPr>
          <w:trHeight w:val="18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2B4ED8" w:rsidRPr="00E35A51" w:rsidTr="0094552E">
        <w:trPr>
          <w:trHeight w:val="3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מבצע: מקבל מידע מהשרת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ReicveDataFromServer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2B4ED8" w:rsidRPr="00E35A51" w:rsidTr="0094552E">
        <w:trPr>
          <w:trHeight w:val="3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tabs>
                <w:tab w:val="left" w:pos="3654"/>
              </w:tabs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קובץ לשרת בצירוף מידע על הקובץ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name, info)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00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יוצר רשומה עם מידע חדש במסד הנתונים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SaveToDatabase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data)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GetFromDatabase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color w:val="000000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את הרשומה המבוקשת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32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מעדכן רשומה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UpdateRecordeInDatabase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id, data)</w:t>
            </w:r>
          </w:p>
        </w:tc>
      </w:tr>
      <w:tr w:rsidR="002B4ED8" w:rsidRPr="00E35A51" w:rsidTr="0094552E">
        <w:trPr>
          <w:trHeight w:val="3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bidi w:val="0"/>
              <w:spacing w:line="360" w:lineRule="auto"/>
              <w:jc w:val="right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רשומה מהמסד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DeleteFromDatabase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בודק את מצב הפלאג בלופ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ListenToFlag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FlagName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והפלאג נדלק ושקר במקרה שהוא מכובה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פונקציה רקורסיבית שעוברת על רשימת התיקיות והקבצים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בתקיית</w:t>
            </w:r>
            <w:proofErr w:type="spellEnd"/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GetFilesTree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רשימת תיקיות, תתי-תיקיות וקבצים במערך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קורא קובץ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ReadFromFIle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cs="David" w:hint="cs"/>
                <w:rtl/>
              </w:rPr>
              <w:t>מחזיר: את ה-</w:t>
            </w:r>
            <w:r w:rsidRPr="00E35A51">
              <w:rPr>
                <w:rFonts w:cs="David"/>
              </w:rPr>
              <w:t>data</w:t>
            </w:r>
            <w:r w:rsidRPr="00E35A51">
              <w:rPr>
                <w:rFonts w:cs="David" w:hint="cs"/>
                <w:rtl/>
              </w:rPr>
              <w:t xml:space="preserve"> שנמצא בקובץ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יוצר קובץ חדש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של הצלחה, שקר במקרה של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כותב מידע לקובץ קיים (אם הקובץ לא קיים נקרא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לפונקצייה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  <w:proofErr w:type="spellStart"/>
            <w:r w:rsidRPr="00E35A51">
              <w:rPr>
                <w:rFonts w:cs="David"/>
              </w:rPr>
              <w:t>Addfile</w:t>
            </w:r>
            <w:proofErr w:type="spellEnd"/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WriteToFile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name, data)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מוסיף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מוחק את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RemoveDir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2B4ED8" w:rsidRPr="00E35A51" w:rsidTr="0094552E">
        <w:trPr>
          <w:trHeight w:val="119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ascii="Calibri" w:hAnsi="Calibri" w:cs="David"/>
                <w:color w:val="000000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307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cs="David" w:hint="cs"/>
                <w:rtl/>
              </w:rPr>
              <w:t xml:space="preserve">מבצע: שולח </w:t>
            </w:r>
            <w:proofErr w:type="spellStart"/>
            <w:r w:rsidRPr="00E35A51">
              <w:rPr>
                <w:rFonts w:cs="David"/>
              </w:rPr>
              <w:t>sms</w:t>
            </w:r>
            <w:proofErr w:type="spellEnd"/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SendSMS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phoneNumber,data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2B4ED8" w:rsidRPr="00E35A51" w:rsidTr="0094552E">
        <w:trPr>
          <w:trHeight w:val="307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</w:t>
            </w:r>
            <w:r w:rsidRPr="00E35A51">
              <w:rPr>
                <w:rFonts w:ascii="Calibri" w:hAnsi="Calibri" w:cs="David"/>
                <w:color w:val="000000"/>
                <w:rtl/>
              </w:rPr>
              <w:t xml:space="preserve"> אמת במקרה הצלחה ושקר במקרה 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307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מקליט שיחה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RecordCall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2B4ED8" w:rsidRPr="00E35A51" w:rsidTr="0094552E">
        <w:trPr>
          <w:trHeight w:val="307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</w:t>
            </w: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>כישלון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rPr>
          <w:trHeight w:val="201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cs="David" w:hint="cs"/>
                <w:rtl/>
              </w:rPr>
              <w:lastRenderedPageBreak/>
              <w:t>מבצע: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GetGpsInfo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2B4ED8" w:rsidRPr="00E35A51" w:rsidTr="0094552E">
        <w:trPr>
          <w:trHeight w:val="200"/>
        </w:trPr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פרטי המיקום של הלקוח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2B4ED8" w:rsidRPr="00E35A51" w:rsidTr="0094552E">
        <w:tc>
          <w:tcPr>
            <w:tcW w:w="4621" w:type="dxa"/>
          </w:tcPr>
          <w:p w:rsidR="002B4ED8" w:rsidRPr="00E35A51" w:rsidRDefault="002B4ED8" w:rsidP="0094552E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2B4ED8" w:rsidRPr="00E35A51" w:rsidRDefault="002B4ED8" w:rsidP="0094552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GetNetworkStat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2B4ED8" w:rsidRPr="00E35A51" w:rsidTr="0094552E">
        <w:tc>
          <w:tcPr>
            <w:tcW w:w="4621" w:type="dxa"/>
          </w:tcPr>
          <w:p w:rsidR="002B4ED8" w:rsidRPr="00E35A51" w:rsidRDefault="002B4ED8" w:rsidP="0094552E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סוג הרשת שהמשתמש מחובר אליה</w:t>
            </w:r>
          </w:p>
        </w:tc>
        <w:tc>
          <w:tcPr>
            <w:tcW w:w="4621" w:type="dxa"/>
            <w:vMerge/>
          </w:tcPr>
          <w:p w:rsidR="002B4ED8" w:rsidRPr="00E35A51" w:rsidRDefault="002B4ED8" w:rsidP="0094552E">
            <w:pPr>
              <w:spacing w:line="360" w:lineRule="auto"/>
              <w:jc w:val="both"/>
              <w:rPr>
                <w:rFonts w:ascii="Courier New" w:hAnsi="Courier New" w:cs="Courier New"/>
                <w:rtl/>
              </w:rPr>
            </w:pPr>
          </w:p>
        </w:tc>
      </w:tr>
    </w:tbl>
    <w:p w:rsidR="002B4ED8" w:rsidRPr="00D44647" w:rsidRDefault="002B4ED8" w:rsidP="00E35A51">
      <w:pPr>
        <w:spacing w:line="360" w:lineRule="auto"/>
        <w:rPr>
          <w:rFonts w:asciiTheme="majorBidi" w:hAnsiTheme="majorBidi" w:cstheme="majorBidi"/>
        </w:rPr>
      </w:pPr>
      <w:bookmarkStart w:id="0" w:name="_GoBack"/>
      <w:bookmarkEnd w:id="0"/>
    </w:p>
    <w:sectPr w:rsidR="002B4ED8" w:rsidRPr="00D44647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0DE" w:rsidRDefault="002370DE" w:rsidP="002B4ED8">
      <w:pPr>
        <w:spacing w:after="0" w:line="240" w:lineRule="auto"/>
      </w:pPr>
      <w:r>
        <w:separator/>
      </w:r>
    </w:p>
  </w:endnote>
  <w:endnote w:type="continuationSeparator" w:id="0">
    <w:p w:rsidR="002370DE" w:rsidRDefault="002370DE" w:rsidP="002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0DE" w:rsidRDefault="002370DE" w:rsidP="002B4ED8">
      <w:pPr>
        <w:spacing w:after="0" w:line="240" w:lineRule="auto"/>
      </w:pPr>
      <w:r>
        <w:separator/>
      </w:r>
    </w:p>
  </w:footnote>
  <w:footnote w:type="continuationSeparator" w:id="0">
    <w:p w:rsidR="002370DE" w:rsidRDefault="002370DE" w:rsidP="002B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D5A29"/>
    <w:multiLevelType w:val="multilevel"/>
    <w:tmpl w:val="58F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1D7DC5"/>
    <w:multiLevelType w:val="multilevel"/>
    <w:tmpl w:val="859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FB"/>
    <w:rsid w:val="001A568D"/>
    <w:rsid w:val="002370DE"/>
    <w:rsid w:val="002B4ED8"/>
    <w:rsid w:val="00823034"/>
    <w:rsid w:val="008464FB"/>
    <w:rsid w:val="00D44647"/>
    <w:rsid w:val="00E16718"/>
    <w:rsid w:val="00E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597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2013-11-03T17:02:00Z</dcterms:created>
  <dcterms:modified xsi:type="dcterms:W3CDTF">2013-11-03T19:48:00Z</dcterms:modified>
</cp:coreProperties>
</file>