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N0-V11-CIERRE-MVP0</w:t>
      </w:r>
    </w:p>
    <w:p>
      <w:pPr>
        <w:pStyle w:val="Title"/>
      </w:pPr>
      <w:r>
        <w:t>Cierre del MVP0 existente y comercial</w:t>
      </w:r>
    </w:p>
    <w:p>
      <w:pPr>
        <w:pStyle w:val="Subtitle"/>
      </w:pPr>
      <w:r>
        <w:t>Plan operativo de certificación, conservación y desarrollo pendiente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Estado real y alcance</w:t>
        </w:r>
      </w:hyperlink>
    </w:p>
    <w:p>
      <w:pPr>
        <w:pStyle w:val="Small"/>
      </w:pPr>
      <w:hyperlink w:anchor="s2">
        <w:r>
          <w:rPr>
            <w:color w:val="6639B7"/>
          </w:rPr>
          <w:t>2. Conservar, ajustar, construir y postergar</w:t>
        </w:r>
      </w:hyperlink>
    </w:p>
    <w:p>
      <w:pPr>
        <w:pStyle w:val="Small"/>
      </w:pPr>
      <w:hyperlink w:anchor="s3">
        <w:r>
          <w:rPr>
            <w:color w:val="6639B7"/>
          </w:rPr>
          <w:t>3. Checklist G-DEMO</w:t>
        </w:r>
      </w:hyperlink>
    </w:p>
    <w:p>
      <w:pPr>
        <w:pStyle w:val="Small"/>
      </w:pPr>
      <w:hyperlink w:anchor="s4">
        <w:r>
          <w:rPr>
            <w:color w:val="6639B7"/>
          </w:rPr>
          <w:t>4. Gates comerciales 0A–0H</w:t>
        </w:r>
      </w:hyperlink>
    </w:p>
    <w:p>
      <w:pPr>
        <w:pStyle w:val="Small"/>
      </w:pPr>
      <w:hyperlink w:anchor="s5">
        <w:r>
          <w:rPr>
            <w:color w:val="6639B7"/>
          </w:rPr>
          <w:t>5. Guion demo documental</w:t>
        </w:r>
      </w:hyperlink>
    </w:p>
    <w:p>
      <w:pPr>
        <w:pStyle w:val="Small"/>
      </w:pPr>
      <w:hyperlink w:anchor="s6">
        <w:r>
          <w:rPr>
            <w:color w:val="6639B7"/>
          </w:rPr>
          <w:t>6. Guion demo comercial ampliada</w:t>
        </w:r>
      </w:hyperlink>
    </w:p>
    <w:p>
      <w:pPr>
        <w:pStyle w:val="Small"/>
      </w:pPr>
      <w:hyperlink w:anchor="s7">
        <w:r>
          <w:rPr>
            <w:color w:val="6639B7"/>
          </w:rPr>
          <w:t>7. Pruebas y deuda operativa</w:t>
        </w:r>
      </w:hyperlink>
    </w:p>
    <w:p>
      <w:pPr>
        <w:pStyle w:val="Small"/>
      </w:pPr>
      <w:hyperlink w:anchor="s8">
        <w:r>
          <w:rPr>
            <w:color w:val="6639B7"/>
          </w:rPr>
          <w:t>8. Acta de aceptación para completar</w:t>
        </w:r>
      </w:hyperlink>
    </w:p>
    <w:p>
      <w:bookmarkStart w:id="1" w:name="s1"/>
      <w:pPr>
        <w:pStyle w:val="Heading1"/>
      </w:pPr>
      <w:r>
        <w:t>1. Estado real y alcance</w:t>
      </w:r>
      <w:bookmarkEnd w:id="1"/>
    </w:p>
    <w:p>
      <w:r>
        <w:t>Línea de partida al 05/09/2026: IA Docs está construido según estado reportado, con 247 pruebas (73 unitarias y 174 de integración), 13 controladores, 40 entidades y 20 migraciones. No se ejecutaron esas pruebas ni se inspeccionó el repositorio al preparar esta documentación. Certificación visual, corpus real, rotación de secreto y carga siguen pendientes de evidencia.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Conservar, ajustar, construir y postergar</w:t>
      </w:r>
      <w:bookmarkEnd w:id="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600"/>
        <w:gridCol w:w="2500"/>
        <w:gridCol w:w="3260"/>
      </w:tblGrid>
      <w:tr>
        <w:trPr>
          <w:cantSplit/>
          <w:tblHeader/>
        </w:trPr>
        <w:tc>
          <w:tcPr>
            <w:tcW w:type="dxa" w:w="3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Cierre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IA Docs y core seguridad/DMS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CONSERVAR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Certificar con QA/navegador/corpus.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Visor genérico y panel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VERIFICAR / AJUSTAR si defecto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No rehacer UI sin evidencia de necesidad.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Tipos y aprendizaje nuevos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CERTIFICAR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Validar con documentación real y aprobación gobernada.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Workflow, Studio, terceros, Supervisor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Gates 0B–0E, diferenciados de demo.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COMEX/Follow ejecutable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CONSTRUIR sobre contratos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Gate 0F.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Email y WhatsApp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POSTERGAR / reactivar MVP1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Decisión de producto y adapter probado.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t>Firma y biometría de proceso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MVP1 opcional por policy</w:t>
            </w:r>
          </w:p>
        </w:tc>
        <w:tc>
          <w:tcPr>
            <w:tcW w:type="dxa" w:w="3260"/>
            <w:vAlign w:val="top"/>
          </w:tcPr>
          <w:p>
            <w:pPr>
              <w:pStyle w:val="TableText"/>
            </w:pPr>
            <w:r>
              <w:t>Proveedor/método/evidencia; no consta implementado.</w:t>
            </w:r>
          </w:p>
        </w:tc>
      </w:tr>
    </w:tbl>
    <w:p>
      <w:pPr>
        <w:pStyle w:val="Small"/>
      </w:pPr>
    </w:p>
    <w:p>
      <w:bookmarkStart w:id="3" w:name="s3"/>
      <w:pPr>
        <w:pStyle w:val="Heading1"/>
      </w:pPr>
      <w:r>
        <w:t>3. Checklist G-DEMO</w:t>
      </w:r>
      <w:bookmarkEnd w:id="3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7300"/>
        <w:gridCol w:w="14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7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Acción y evidencia</w:t>
            </w:r>
          </w:p>
        </w:tc>
        <w:tc>
          <w:tcPr>
            <w:tcW w:type="dxa" w:w="1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Fijar build, entorno y cuenta de prueba; registrar fecha y versiones sin secretos.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CTO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Login → carga sin tipo → visor → corrección con motivo → excepción → panel; capturas por paso.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QA + PO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Caso genérico: datos persistidos visibles en visor; no falsa pantalla vacía.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QA + Front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Procesar 10–15 documentos reales autorizados; registrar tipo, campos, resultado y defectos.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QA + Operación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Rotar clave Gemini y revocar anterior; probar nueva sin exponer valores.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SRE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Clasificar defectos, corregir bloqueantes y repetir casos afectados.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Dev + QA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7300"/>
            <w:vAlign w:val="top"/>
          </w:tcPr>
          <w:p>
            <w:pPr>
              <w:pStyle w:val="TableText"/>
            </w:pPr>
            <w:r>
              <w:t>Acta: alcance documental, limitaciones, evidencia y aceptación.</w:t>
            </w:r>
          </w:p>
        </w:tc>
        <w:tc>
          <w:tcPr>
            <w:tcW w:type="dxa" w:w="1460"/>
            <w:vAlign w:val="top"/>
          </w:tcPr>
          <w:p>
            <w:pPr>
              <w:pStyle w:val="TableText"/>
            </w:pPr>
            <w:r>
              <w:t>PO + QA</w:t>
            </w:r>
          </w:p>
        </w:tc>
      </w:tr>
    </w:tbl>
    <w:p>
      <w:pPr>
        <w:pStyle w:val="Small"/>
      </w:pPr>
    </w:p>
    <w:p>
      <w:r>
        <w:t>No marcar estos controles como cumplidos por existir este documento. Todos parten pendientes hasta ejecutar y adjuntar evidencia.</w:t>
      </w:r>
    </w:p>
    <w:p>
      <w:bookmarkStart w:id="4" w:name="s4"/>
      <w:pPr>
        <w:pStyle w:val="Heading1"/>
      </w:pPr>
      <w:r>
        <w:t>4. Gates comerciales 0A–0H</w:t>
      </w:r>
      <w:bookmarkEnd w:id="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00"/>
        <w:gridCol w:w="7100"/>
        <w:gridCol w:w="1560"/>
      </w:tblGrid>
      <w:tr>
        <w:trPr>
          <w:cantSplit/>
          <w:tblHeader/>
        </w:trPr>
        <w:tc>
          <w:tcPr>
            <w:tcW w:type="dxa" w:w="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7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0A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Distinguir existente, retirado y nuevo; backlog y dueños definidos.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PO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0B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Schema, persistencia, ownership y grants diseñados/probados; usar contratos mínimos para evitar ciclos de construcción.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CTO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0C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Casos de instancia, tarea, cancelación, SLA y replay aprobados.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Dev + QA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0D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Publicación desde UI y acción externa limitada probadas.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PO + UX + QA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0E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Bloqueos/advertencias explicables y resolución idempotente.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PO + QA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0F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Catorce bases registradas y probadas; overlays; mapping y readiness con receptor de prueba.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PO COMEX + QA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0G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Regresión, UI/E2E, aislamiento, secretos, corpus, carga acordada y observabilidad.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CTO + QA</w:t>
            </w:r>
          </w:p>
        </w:tc>
      </w:tr>
      <w:tr>
        <w:trPr>
          <w:cantSplit/>
        </w:trPr>
        <w:tc>
          <w:tcPr>
            <w:tcW w:type="dxa" w:w="700"/>
            <w:vAlign w:val="top"/>
          </w:tcPr>
          <w:p>
            <w:pPr>
              <w:pStyle w:val="TableText"/>
            </w:pPr>
            <w:r>
              <w:t>0H</w:t>
            </w:r>
          </w:p>
        </w:tc>
        <w:tc>
          <w:tcPr>
            <w:tcW w:type="dxa" w:w="7100"/>
            <w:vAlign w:val="top"/>
          </w:tcPr>
          <w:p>
            <w:pPr>
              <w:pStyle w:val="TableText"/>
            </w:pPr>
            <w:r>
              <w:t>0A–0G con evidencia; tenant demo de procesos, runbook, soporte y rollback; acta de salida.</w:t>
            </w:r>
          </w:p>
        </w:tc>
        <w:tc>
          <w:tcPr>
            <w:tcW w:type="dxa" w:w="1560"/>
            <w:vAlign w:val="top"/>
          </w:tcPr>
          <w:p>
            <w:pPr>
              <w:pStyle w:val="TableText"/>
            </w:pPr>
            <w:r>
              <w:t>PO + CTO + Ops</w:t>
            </w:r>
          </w:p>
        </w:tc>
      </w:tr>
    </w:tbl>
    <w:p>
      <w:pPr>
        <w:pStyle w:val="Small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El cierre comercial agrega coordinación de procesos al core documental, preservando sus módulos.</w:t>
      </w:r>
    </w:p>
    <w:p>
      <w:bookmarkStart w:id="5" w:name="s5"/>
      <w:pPr>
        <w:pStyle w:val="Heading1"/>
      </w:pPr>
      <w:r>
        <w:t>5. Guion demo documental</w:t>
      </w:r>
      <w:bookmarkEnd w:id="5"/>
    </w:p>
    <w:p>
      <w:pPr>
        <w:pStyle w:val="ListBullet"/>
      </w:pPr>
      <w:r>
        <w:t>Ingresar como usuario de tenant A y mostrar bandeja sin datos de B.</w:t>
      </w:r>
    </w:p>
    <w:p>
      <w:pPr>
        <w:pStyle w:val="ListBullet"/>
      </w:pPr>
      <w:r>
        <w:t>Subir factura sin elegir tipo; observar clasificación y extracción.</w:t>
      </w:r>
    </w:p>
    <w:p>
      <w:pPr>
        <w:pStyle w:val="ListBullet"/>
      </w:pPr>
      <w:r>
        <w:t>Abrir un documento genérico y mostrar datos disponibles.</w:t>
      </w:r>
    </w:p>
    <w:p>
      <w:pPr>
        <w:pStyle w:val="ListBullet"/>
      </w:pPr>
      <w:r>
        <w:t>Corregir un campo con motivo; consultar evidencia antes/después.</w:t>
      </w:r>
    </w:p>
    <w:p>
      <w:pPr>
        <w:pStyle w:val="ListBullet"/>
      </w:pPr>
      <w:r>
        <w:t>Resolver excepción y verificar panel con población fuente.</w:t>
      </w:r>
    </w:p>
    <w:p>
      <w:pPr>
        <w:pStyle w:val="ListBullet"/>
      </w:pPr>
      <w:r>
        <w:t>Explicar alcance: no demostrar Workflow, firma o canales retirados como si estuvieran activos.</w:t>
      </w:r>
    </w:p>
    <w:p>
      <w:bookmarkStart w:id="6" w:name="s6"/>
      <w:pPr>
        <w:pStyle w:val="Heading1"/>
      </w:pPr>
      <w:r>
        <w:t>6. Guion demo comercial ampliada</w:t>
      </w:r>
      <w:bookmarkEnd w:id="6"/>
    </w:p>
    <w:p>
      <w:pPr>
        <w:pStyle w:val="ListBullet"/>
      </w:pPr>
      <w:r>
        <w:t>Crear o adaptar plantilla guiada y ejecutar fixture antes de publicar.</w:t>
      </w:r>
    </w:p>
    <w:p>
      <w:pPr>
        <w:pStyle w:val="ListBullet"/>
      </w:pPr>
      <w:r>
        <w:t>Crear instancia desde contexto Follow y ver base/overlays seleccionados.</w:t>
      </w:r>
    </w:p>
    <w:p>
      <w:pPr>
        <w:pStyle w:val="ListBullet"/>
      </w:pPr>
      <w:r>
        <w:t>Asignar tarea externa; probar acceso limitado y expiración.</w:t>
      </w:r>
    </w:p>
    <w:p>
      <w:pPr>
        <w:pStyle w:val="ListBullet"/>
      </w:pPr>
      <w:r>
        <w:t>Cargar documentos y provocar discrepancia controlada; Supervisor explica bloqueo.</w:t>
      </w:r>
    </w:p>
    <w:p>
      <w:pPr>
        <w:pStyle w:val="ListBullet"/>
      </w:pPr>
      <w:r>
        <w:t>Corregir, reevaluar y cerrar proceso; exportar evidencia y readiness.</w:t>
      </w:r>
    </w:p>
    <w:p>
      <w:pPr>
        <w:pStyle w:val="ListBullet"/>
      </w:pPr>
      <w:r>
        <w:t>Simular receptor Follow caído; mostrar entrega pendiente y replay idempotente.</w:t>
      </w:r>
    </w:p>
    <w:p>
      <w:bookmarkStart w:id="7" w:name="s7"/>
      <w:pPr>
        <w:pStyle w:val="Heading1"/>
      </w:pPr>
      <w:r>
        <w:t>7. Pruebas y deuda operativa</w:t>
      </w:r>
      <w:bookmarkEnd w:id="7"/>
    </w:p>
    <w:p>
      <w:r>
        <w:t>Integración debe fallar si falta infraestructura requerida; NEXTDOCS_PRUEBA_OBLIGATORIA=true es obligatorio para certificación del stack reportado. El plan Playwright no equivale a suite UI implementada. Crear la automatización de recorrido y conservar revisión humana hasta validarla.</w:t>
      </w:r>
    </w:p>
    <w:p>
      <w:r>
        <w:t>El catálogo inicial reportado tiene diez tipos: remito, factura, nota de crédito, nota de débito, constancia de inscripción, DNI, licencia, cédula, VTV y seguro. Adaptación internacional requiere configuración/corpus por país, no afirmar que ya existe.</w:t>
      </w:r>
    </w:p>
    <w:p>
      <w:r>
        <w:t>Prueba de carga y gold corpus industrial siguen pendientes. Un lote de 10–15 documentos permite evaluar demo, no acreditar miles de documentos diarios ni precisión general.</w:t>
      </w:r>
    </w:p>
    <w:p>
      <w:bookmarkStart w:id="8" w:name="s8"/>
      <w:pPr>
        <w:pStyle w:val="Heading1"/>
      </w:pPr>
      <w:r>
        <w:t>8. Acta de aceptación para completar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7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Registro requerido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Build y entorno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Completar al ejecutar.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Gates evaluados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G-DEMO o 0H; no intercambiables.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QA y evidencia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Run IDs, capturas, corpus, defectos y resultados.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Bloqueantes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Lista vacía verificada o gate no aprobado.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Decisión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Pendiente de ejecución y aprobación.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Aprobadores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PO, QA y CTO/Ops según gate.</w:t>
            </w:r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N0-V11-CIERRE-MVP0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N0-V11-CIERRE-MVP0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