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N0-V11-INTERCONEXIONES</w:t>
      </w:r>
    </w:p>
    <w:p>
      <w:pPr>
        <w:pStyle w:val="Title"/>
      </w:pPr>
      <w:r>
        <w:t>Interconexiones de herramientas y módulos</w:t>
      </w:r>
    </w:p>
    <w:p>
      <w:pPr>
        <w:pStyle w:val="Subtitle"/>
      </w:pPr>
      <w:r>
        <w:t>Contratos funcionales, eventos, autoridad y fallos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Arquitectura funcional</w:t>
        </w:r>
      </w:hyperlink>
    </w:p>
    <w:p>
      <w:pPr>
        <w:pStyle w:val="Small"/>
      </w:pPr>
      <w:hyperlink w:anchor="s2">
        <w:r>
          <w:rPr>
            <w:color w:val="6639B7"/>
          </w:rPr>
          <w:t>2. Matriz completa de intercambios</w:t>
        </w:r>
      </w:hyperlink>
    </w:p>
    <w:p>
      <w:pPr>
        <w:pStyle w:val="Small"/>
      </w:pPr>
      <w:hyperlink w:anchor="s3">
        <w:r>
          <w:rPr>
            <w:color w:val="6639B7"/>
          </w:rPr>
          <w:t>3. Reglas de contrato y recuperación</w:t>
        </w:r>
      </w:hyperlink>
    </w:p>
    <w:p>
      <w:pPr>
        <w:pStyle w:val="Small"/>
      </w:pPr>
      <w:hyperlink w:anchor="s4">
        <w:r>
          <w:rPr>
            <w:color w:val="6639B7"/>
          </w:rPr>
          <w:t>4. Envolvente funcional de eventos</w:t>
        </w:r>
      </w:hyperlink>
    </w:p>
    <w:p>
      <w:pPr>
        <w:pStyle w:val="Small"/>
      </w:pPr>
      <w:hyperlink w:anchor="s5">
        <w:r>
          <w:rPr>
            <w:color w:val="6639B7"/>
          </w:rPr>
          <w:t>5. Transporte, seguridad y consistencia</w:t>
        </w:r>
      </w:hyperlink>
    </w:p>
    <w:p>
      <w:pPr>
        <w:pStyle w:val="Small"/>
      </w:pPr>
      <w:hyperlink w:anchor="s6">
        <w:r>
          <w:rPr>
            <w:color w:val="6639B7"/>
          </w:rPr>
          <w:t>6. Autoridad sobre los datos</w:t>
        </w:r>
      </w:hyperlink>
    </w:p>
    <w:p>
      <w:pPr>
        <w:pStyle w:val="Small"/>
      </w:pPr>
      <w:hyperlink w:anchor="s7">
        <w:r>
          <w:rPr>
            <w:color w:val="6639B7"/>
          </w:rPr>
          <w:t>7. Catálogo de fallos</w:t>
        </w:r>
      </w:hyperlink>
    </w:p>
    <w:p>
      <w:bookmarkStart w:id="1" w:name="s1"/>
      <w:pPr>
        <w:pStyle w:val="Heading1"/>
      </w:pPr>
      <w:r>
        <w:t>1. Arquitectura funcional</w:t>
      </w:r>
      <w:bookmarkEnd w:id="1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net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Vista de conjunto: separar core reportado, procesos nuevos y sistemas host.</w:t>
      </w:r>
    </w:p>
    <w:p>
      <w:r>
        <w:t>Las interfaces IF son nombres funcionales para diseño y prueba; no son endpoints definitivos. Sistemas debe mapearlas a contratos reales y mantener compatibilidad. No se obliga a un despliegue por módulo.</w:t>
      </w:r>
    </w:p>
    <w:p>
      <w:bookmarkStart w:id="2" w:name="s2"/>
      <w:pPr>
        <w:pStyle w:val="Heading1"/>
      </w:pPr>
      <w:r>
        <w:t>2. Matriz completa de intercambios</w:t>
      </w:r>
      <w:bookmarkEnd w:id="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400"/>
        <w:gridCol w:w="2850"/>
        <w:gridCol w:w="2400"/>
        <w:gridCol w:w="1710"/>
      </w:tblGrid>
      <w:tr>
        <w:trPr>
          <w:cantSplit/>
          <w:tblHeader/>
        </w:trPr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IF / origen → destino</w:t>
            </w:r>
          </w:p>
        </w:tc>
        <w:tc>
          <w:tcPr>
            <w:tcW w:type="dxa" w:w="28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2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</w:t>
            </w:r>
          </w:p>
        </w:tc>
        <w:tc>
          <w:tcPr>
            <w:tcW w:type="dxa" w:w="17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IF-01 Portal/API → IAM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Credencial o assertion; tenant solicitado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Principal y scopes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Existente reportado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IF-02 Portal/API → DOC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Archivo/ref, metadata, clave de intención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Documento/ref y estado de ingreso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Existente reportado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IF-03 DOC → Proveedor IA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Derivado autorizado, schema y config de proveedor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Facts, confidence y evidencia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Existente Gemini/DeepSeek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IF-04 DOC → GOV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Original, hash, extracción y decisión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Versiones, audit y proyección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Existente; ampliar procesos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IF-05 STU → WFL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Definición publicada, versión y requisitos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Instancia fijada y activaciones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MVP0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IF-06 WFL → DOC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Requisito documental y recurso autorizado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Facts válidos o revisión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consumo; DOC se conserva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IF-07 WFL → IAM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Tarea, acción y destinatario autorizado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Grant/token limitado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MVP0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IF-08 DOC/WFL → SUP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Cambio de facts, tarea o plazo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Hallazgo/advertencia/bloqueo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MVP0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IF-09 SUP → WFL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Resultado y policy/evidencia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Transición permitida o espera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MVP0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IF-10 Follow → COM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source, tenant, subject_ref y códigos de contexto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Recomendación base/overlays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contrato funcional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IF-11 COM → STU/WFL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Base y overlays autorizados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Instancia y snapshot de contexto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MVP0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IF-12 COM → Follow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Readiness, motivos y versión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ACK/delivery status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Transporte existente; payload nuevo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IF-13 Follow/CIMA/Valid360 → IAM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Assertion, contexto y recurso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Sesión NEXT autorizada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SSO existente reportado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IF-14 CAN → STU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Edición visual del schema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Misma definición versionada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MVP1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IF-15 PAR → IAM/STU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Cliente, grant e intención de implantación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Instalación/fork autorizado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MVP1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IF-16 Email/WhatsApp → CHN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Mensaje, hilo, adjunto y referencia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Asociación a tarea/proceso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Retirado hoy; MVP1 condicionado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IF-17 CHN → Proveedor firma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Documento/hash, método y firmante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Evidencia/callback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MVP1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IF-18 MKT → UPG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Entitlement y pack certificado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Instalación versionada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MVP2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IF-19 MKT → Pago/ledger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Orden y términos fijados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Pago, derecho y movimientos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MVP2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IF-20 DOC/WFL → SEN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Versión de facts y cambios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Impact assessment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MVP3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IF-21 COP → STU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Propuesta probada y aprobada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Versión publicada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MVP3</w:t>
            </w:r>
          </w:p>
        </w:tc>
      </w:tr>
      <w:tr>
        <w:trPr>
          <w:cantSplit/>
        </w:trPr>
        <w:tc>
          <w:tcPr>
            <w:tcW w:type="dxa" w:w="2400"/>
            <w:vAlign w:val="top"/>
          </w:tcPr>
          <w:p>
            <w:pPr>
              <w:pStyle w:val="TableText"/>
            </w:pPr>
            <w:r>
              <w:t>IF-22 ENT/DR → GOV/REL</w:t>
            </w:r>
          </w:p>
        </w:tc>
        <w:tc>
          <w:tcPr>
            <w:tcW w:type="dxa" w:w="2850"/>
            <w:vAlign w:val="top"/>
          </w:tcPr>
          <w:p>
            <w:pPr>
              <w:pStyle w:val="TableText"/>
            </w:pPr>
            <w:r>
              <w:t>Perfil, backup y ejercicio</w:t>
            </w:r>
          </w:p>
        </w:tc>
        <w:tc>
          <w:tcPr>
            <w:tcW w:type="dxa" w:w="2400"/>
            <w:vAlign w:val="top"/>
          </w:tcPr>
          <w:p>
            <w:pPr>
              <w:pStyle w:val="TableText"/>
            </w:pPr>
            <w:r>
              <w:t>Evidencia de recuperación</w:t>
            </w:r>
          </w:p>
        </w:tc>
        <w:tc>
          <w:tcPr>
            <w:tcW w:type="dxa" w:w="1710"/>
            <w:vAlign w:val="top"/>
          </w:tcPr>
          <w:p>
            <w:pPr>
              <w:pStyle w:val="TableText"/>
            </w:pPr>
            <w:r>
              <w:t>Nuevo MVP4</w:t>
            </w:r>
          </w:p>
        </w:tc>
      </w:tr>
    </w:tbl>
    <w:p>
      <w:pPr>
        <w:pStyle w:val="Small"/>
      </w:pPr>
    </w:p>
    <w:p>
      <w:bookmarkStart w:id="3" w:name="s3"/>
      <w:pPr>
        <w:pStyle w:val="Heading1"/>
      </w:pPr>
      <w:r>
        <w:t>3. Reglas de contrato y recuperación</w:t>
      </w:r>
      <w:bookmarkEnd w:id="3"/>
    </w:p>
    <w:p>
      <w:pPr>
        <w:pStyle w:val="Heading2"/>
      </w:pPr>
      <w:r>
        <w:t>IF-01 · Portal/API → IAM</w:t>
      </w:r>
    </w:p>
    <w:p>
      <w:r>
        <w:t>Entrada: Credencial o assertion; tenant solicitado. Salida: Principal y scopes.</w:t>
      </w:r>
    </w:p>
    <w:p>
      <w:r>
        <w:t>Control: Denegar identidad/tenant inválidos; no leer dominio.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IF-02 · Portal/API → DOC</w:t>
      </w:r>
    </w:p>
    <w:p>
      <w:r>
        <w:t>Entrada: Archivo/ref, metadata, clave de intención. Salida: Documento/ref y estado de ingreso.</w:t>
      </w:r>
    </w:p>
    <w:p>
      <w:r>
        <w:t>Control: Tipo/virus/tamaño inválido no inicia IA.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IF-03 · DOC → Proveedor IA</w:t>
      </w:r>
    </w:p>
    <w:p>
      <w:r>
        <w:t>Entrada: Derivado autorizado, schema y config de proveedor. Salida: Facts, confidence y evidencia.</w:t>
      </w:r>
    </w:p>
    <w:p>
      <w:r>
        <w:t>Control: Fallback permitido o revisión; registrar costo.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IF-04 · DOC → GOV</w:t>
      </w:r>
    </w:p>
    <w:p>
      <w:r>
        <w:t>Entrada: Original, hash, extracción y decisión. Salida: Versiones, audit y proyección.</w:t>
      </w:r>
    </w:p>
    <w:p>
      <w:r>
        <w:t>Control: No sustituir original por corrección.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IF-05 · STU → WFL</w:t>
      </w:r>
    </w:p>
    <w:p>
      <w:r>
        <w:t>Entrada: Definición publicada, versión y requisitos. Salida: Instancia fijada y activaciones.</w:t>
      </w:r>
    </w:p>
    <w:p>
      <w:r>
        <w:t>Control: Borrador no ejecutable; no migración automática.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IF-06 · WFL → DOC</w:t>
      </w:r>
    </w:p>
    <w:p>
      <w:r>
        <w:t>Entrada: Requisito documental y recurso autorizado. Salida: Facts válidos o revisión.</w:t>
      </w:r>
    </w:p>
    <w:p>
      <w:r>
        <w:t>Control: Ausencia/baja confianza bloquea requisito según policy.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IF-07 · WFL → IAM</w:t>
      </w:r>
    </w:p>
    <w:p>
      <w:r>
        <w:t>Entrada: Tarea, acción y destinatario autorizado. Salida: Grant/token limitado.</w:t>
      </w:r>
    </w:p>
    <w:p>
      <w:r>
        <w:t>Control: Revalidar expiración, recurso y revocación al actuar.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IF-08 · DOC/WFL → SUP</w:t>
      </w:r>
    </w:p>
    <w:p>
      <w:r>
        <w:t>Entrada: Cambio de facts, tarea o plazo. Salida: Hallazgo/advertencia/bloqueo.</w:t>
      </w:r>
    </w:p>
    <w:p>
      <w:r>
        <w:t>Control: Policy publicada; una acción lógica por hallazgo.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IF-09 · SUP → WFL</w:t>
      </w:r>
    </w:p>
    <w:p>
      <w:r>
        <w:t>Entrada: Resultado y policy/evidencia. Salida: Transición permitida o espera.</w:t>
      </w:r>
    </w:p>
    <w:p>
      <w:r>
        <w:t>Control: Supervisor no publica reglas ni firma.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IF-10 · Follow → COM</w:t>
      </w:r>
    </w:p>
    <w:p>
      <w:r>
        <w:t>Entrada: source, tenant, subject_ref y códigos de contexto. Salida: Recomendación base/overlays.</w:t>
      </w:r>
    </w:p>
    <w:p>
      <w:r>
        <w:t>Control: Mapping ausente requiere revisión.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IF-11 · COM → STU/WFL</w:t>
      </w:r>
    </w:p>
    <w:p>
      <w:r>
        <w:t>Entrada: Base y overlays autorizados. Salida: Instancia y snapshot de contexto.</w:t>
      </w:r>
    </w:p>
    <w:p>
      <w:r>
        <w:t>Control: Duplicado externo retorna misma instancia.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IF-12 · COM → Follow</w:t>
      </w:r>
    </w:p>
    <w:p>
      <w:r>
        <w:t>Entrada: Readiness, motivos y versión. Salida: ACK/delivery status.</w:t>
      </w:r>
    </w:p>
    <w:p>
      <w:r>
        <w:t>Control: Retry y DLQ no revierten readiness.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IF-13 · Follow/CIMA/Valid360 → IAM</w:t>
      </w:r>
    </w:p>
    <w:p>
      <w:r>
        <w:t>Entrada: Assertion, contexto y recurso. Salida: Sesión NEXT autorizada.</w:t>
      </w:r>
    </w:p>
    <w:p>
      <w:r>
        <w:t>Control: Host no amplía permisos internos.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IF-14 · CAN → STU</w:t>
      </w:r>
    </w:p>
    <w:p>
      <w:r>
        <w:t>Entrada: Edición visual del schema. Salida: Misma definición versionada.</w:t>
      </w:r>
    </w:p>
    <w:p>
      <w:r>
        <w:t>Control: Layout no cambia semántica.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IF-15 · PAR → IAM/STU</w:t>
      </w:r>
    </w:p>
    <w:p>
      <w:r>
        <w:t>Entrada: Cliente, grant e intención de implantación. Salida: Instalación/fork autorizado.</w:t>
      </w:r>
    </w:p>
    <w:p>
      <w:r>
        <w:t>Control: Revocar grant no borra plantilla cliente.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IF-16 · Email/WhatsApp → CHN</w:t>
      </w:r>
    </w:p>
    <w:p>
      <w:r>
        <w:t>Entrada: Mensaje, hilo, adjunto y referencia. Salida: Asociación a tarea/proceso.</w:t>
      </w:r>
    </w:p>
    <w:p>
      <w:r>
        <w:t>Control: Ambiguo se resuelve; no alta por inferencia.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IF-17 · CHN → Proveedor firma</w:t>
      </w:r>
    </w:p>
    <w:p>
      <w:r>
        <w:t>Entrada: Documento/hash, método y firmante. Salida: Evidencia/callback.</w:t>
      </w:r>
    </w:p>
    <w:p>
      <w:r>
        <w:t>Control: No marcar firmado por recepción del enlace.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IF-18 · MKT → UPG</w:t>
      </w:r>
    </w:p>
    <w:p>
      <w:r>
        <w:t>Entrada: Entitlement y pack certificado. Salida: Instalación versionada.</w:t>
      </w:r>
    </w:p>
    <w:p>
      <w:r>
        <w:t>Control: No instalar sin derecho y dependencias.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IF-19 · MKT → Pago/ledger</w:t>
      </w:r>
    </w:p>
    <w:p>
      <w:r>
        <w:t>Entrada: Orden y términos fijados. Salida: Pago, derecho y movimientos.</w:t>
      </w:r>
    </w:p>
    <w:p>
      <w:r>
        <w:t>Control: Callback duplicado y reembolso compensatorio.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IF-20 · DOC/WFL → SEN</w:t>
      </w:r>
    </w:p>
    <w:p>
      <w:r>
        <w:t>Entrada: Versión de facts y cambios. Salida: Impact assessment.</w:t>
      </w:r>
    </w:p>
    <w:p>
      <w:r>
        <w:t>Control: No evaluar todo si sólo cambió un subconjunto.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IF-21 · COP → STU</w:t>
      </w:r>
    </w:p>
    <w:p>
      <w:r>
        <w:t>Entrada: Propuesta probada y aprobada. Salida: Versión publicada.</w:t>
      </w:r>
    </w:p>
    <w:p>
      <w:r>
        <w:t>Control: Modelo nunca publica autónomamente.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pPr>
        <w:pStyle w:val="Heading2"/>
      </w:pPr>
      <w:r>
        <w:t>IF-22 · ENT/DR → GOV/REL</w:t>
      </w:r>
    </w:p>
    <w:p>
      <w:r>
        <w:t>Entrada: Perfil, backup y ejercicio. Salida: Evidencia de recuperación.</w:t>
      </w:r>
    </w:p>
    <w:p>
      <w:r>
        <w:t>Control: Ningún SLA/residencia se afirma sin prueba.</w:t>
      </w:r>
    </w:p>
    <w:p>
      <w:r>
        <w:t>Transportar tenant, principal/sistema, recurso, versión e intención idempotente. Confirmar recepción por separado de finalización. Prueba de integración: entrada válida, contexto inválido, duplicado, timeout y resultado tardío; usar los QA de los módulos indicados.</w:t>
      </w:r>
    </w:p>
    <w:p>
      <w:bookmarkStart w:id="4" w:name="s4"/>
      <w:pPr>
        <w:pStyle w:val="Heading1"/>
      </w:pPr>
      <w:r>
        <w:t>4. Envolvente funcional de eventos</w:t>
      </w:r>
      <w:bookmarkEnd w:id="4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event_ref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Identidad lógica estable; replay no genera nuevo hecho de negocio.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event_type + schema_version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Tipo y versión de payload; consumidor rechaza o deriva versión no soportada.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tenant_ref + source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Contexto validado, no confiado sólo por estar dentro del payload.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subject_ref + resource_revision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Entidad externa/interna y revisión para reconciliar orden.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occurred_at + correlation_ref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Fecha del hecho y correlación E2E.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payload / evidence_refs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Datos mínimos autorizados y referencias de evidencia.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delivery_attempt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Intento separado del evento; no cambia el ID lógico.</w:t>
            </w:r>
          </w:p>
        </w:tc>
      </w:tr>
    </w:tbl>
    <w:p>
      <w:pPr>
        <w:pStyle w:val="Small"/>
      </w:pPr>
    </w:p>
    <w:p>
      <w:bookmarkStart w:id="5" w:name="s5"/>
      <w:pPr>
        <w:pStyle w:val="Heading1"/>
      </w:pPr>
      <w:r>
        <w:t>5. Transporte, seguridad y consistencia</w:t>
      </w:r>
      <w:bookmarkEnd w:id="5"/>
    </w:p>
    <w:p>
      <w:r>
        <w:t>Webhooks firmados, reintentos y DLQ existen según línea de partida. Preservar su contrato; no inventar número productivo de intentos. QA puede configurar cinco intentos para probar agotamiento. Firma de transporte no equivale a firma del documento.</w:t>
      </w:r>
    </w:p>
    <w:p>
      <w:r>
        <w:t>Persistir hecho y entrega pendiente de forma consistente (patrón outbox o equivalente a definir por Sistemas). Un receptor caído no revierte el estado documental. Rotar secretos con procedimiento y verificar replay sin doble efecto.</w:t>
      </w:r>
    </w:p>
    <w:p>
      <w:bookmarkStart w:id="6" w:name="s6"/>
      <w:pPr>
        <w:pStyle w:val="Heading1"/>
      </w:pPr>
      <w:r>
        <w:t>6. Autoridad sobre los datos</w:t>
      </w:r>
      <w:bookmarkEnd w:id="6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500"/>
        <w:gridCol w:w="5860"/>
      </w:tblGrid>
      <w:tr>
        <w:trPr>
          <w:cantSplit/>
          <w:tblHeader/>
        </w:trPr>
        <w:tc>
          <w:tcPr>
            <w:tcW w:type="dxa" w:w="3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58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Fuente de verdad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Maestros/carga logística Follow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Follow; COM almacena referencia/mapping versionado.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Documento y extracción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NEXT DOC AI; original y hechos trazables.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Proceso y tarea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WFL; canal muestra estado confirmado.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Identidad autorizada NEXT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IAM y membresía local; host sólo autentica según contrato.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Firma externa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Evidencia del proveedor validada y asociada al hash.</w:t>
            </w:r>
          </w:p>
        </w:tc>
      </w:tr>
      <w:tr>
        <w:trPr>
          <w:cantSplit/>
        </w:trPr>
        <w:tc>
          <w:tcPr>
            <w:tcW w:type="dxa" w:w="3500"/>
            <w:vAlign w:val="top"/>
          </w:tcPr>
          <w:p>
            <w:pPr>
              <w:pStyle w:val="TableText"/>
            </w:pPr>
            <w:r>
              <w:t>Derecho comercial</w:t>
            </w:r>
          </w:p>
        </w:tc>
        <w:tc>
          <w:tcPr>
            <w:tcW w:type="dxa" w:w="5860"/>
            <w:vAlign w:val="top"/>
          </w:tcPr>
          <w:p>
            <w:pPr>
              <w:pStyle w:val="TableText"/>
            </w:pPr>
            <w:r>
              <w:t>MKT; separado del estado de ejecución de documento.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7. Catálogo de fallos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Fallo</w:t>
            </w:r>
          </w:p>
        </w:tc>
        <w:tc>
          <w:tcPr>
            <w:tcW w:type="dxa" w:w="6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Comportamiento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Datos inválidos / permiso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Denegar o pedir corrección; no retry ciego.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Timeout / 5xx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Retry controlado; preservar intención y estado.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Evento fuera de orden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Comparar revisión; registrar obsoleto sin revertir.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Duplicado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Retornar resultado previo o confirmar consumo; sin nuevo efecto.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DLQ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Owner, razón y replay autorizado con mismo hecho.</w:t>
            </w:r>
          </w:p>
        </w:tc>
      </w:tr>
      <w:tr>
        <w:trPr>
          <w:cantSplit/>
        </w:trPr>
        <w:tc>
          <w:tcPr>
            <w:tcW w:type="dxa" w:w="2800"/>
            <w:vAlign w:val="top"/>
          </w:tcPr>
          <w:p>
            <w:pPr>
              <w:pStyle w:val="TableText"/>
            </w:pPr>
            <w:r>
              <w:t>Cambio de contrato</w:t>
            </w:r>
          </w:p>
        </w:tc>
        <w:tc>
          <w:tcPr>
            <w:tcW w:type="dxa" w:w="6560"/>
            <w:vAlign w:val="top"/>
          </w:tcPr>
          <w:p>
            <w:pPr>
              <w:pStyle w:val="TableText"/>
            </w:pPr>
            <w:r>
              <w:t>Compatibilidad y versionado antes de activar consumidor.</w:t>
            </w:r>
          </w:p>
        </w:tc>
      </w:tr>
    </w:tbl>
    <w:p>
      <w:pPr>
        <w:pStyle w:val="Small"/>
      </w:pPr>
    </w:p>
    <w:p>
      <w:pPr>
        <w:pStyle w:val="Heading1"/>
      </w:pPr>
      <w:r>
        <w:t>Herramientas del core reportado y responsabilidades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84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ramientas_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Esquema lógico del stack reportado. Las flechas muestran una interacción principal; las respuestas y controles de acceso se omiten para mantener legibilidad. No impone nombres de servicios ni nuevas topologías.</w:t>
      </w:r>
    </w:p>
    <w:p>
      <w:r>
        <w:t>Keycloak soporta identidad; la API valida permiso y tenant. El trabajo documental se procesa asíncronamente; PostgreSQL guarda metadata/estados y MinIO conserva objetos. Redis participa en la infraestructura del trabajo asíncrono. Gemini y DeepSeek son proveedores reportados; el adapter normaliza resultados y registra la elección. Sistemas debe confirmar el reparto exacto de colas y persistencia contra el código existente.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N0-V11-INTERCONEXIONES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N0-V11-INTERCONEXIONES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