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N0-V11-SISTEMA</w:t>
      </w:r>
    </w:p>
    <w:p>
      <w:pPr>
        <w:pStyle w:val="Title"/>
      </w:pPr>
      <w:r>
        <w:t>Sistema maestro NEXT DOC AI</w:t>
      </w:r>
    </w:p>
    <w:p>
      <w:pPr>
        <w:pStyle w:val="Subtitle"/>
      </w:pPr>
      <w:r>
        <w:t>Producto, operación y ejecución conectados por módulos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0. Ficha del proyecto</w:t>
        </w:r>
      </w:hyperlink>
    </w:p>
    <w:p>
      <w:pPr>
        <w:pStyle w:val="Small"/>
      </w:pPr>
      <w:hyperlink w:anchor="s2">
        <w:r>
          <w:rPr>
            <w:color w:val="6639B7"/>
          </w:rPr>
          <w:t>1. Resumen ejecutivo</w:t>
        </w:r>
      </w:hyperlink>
    </w:p>
    <w:p>
      <w:pPr>
        <w:pStyle w:val="Small"/>
      </w:pPr>
      <w:hyperlink w:anchor="s3">
        <w:r>
          <w:rPr>
            <w:color w:val="6639B7"/>
          </w:rPr>
          <w:t>2. Contexto estratégico y operación</w:t>
        </w:r>
      </w:hyperlink>
    </w:p>
    <w:p>
      <w:pPr>
        <w:pStyle w:val="Small"/>
      </w:pPr>
      <w:hyperlink w:anchor="s4">
        <w:r>
          <w:rPr>
            <w:color w:val="6639B7"/>
          </w:rPr>
          <w:t>3. Casos de negocio transversales</w:t>
        </w:r>
      </w:hyperlink>
    </w:p>
    <w:p>
      <w:pPr>
        <w:pStyle w:val="Small"/>
      </w:pPr>
      <w:hyperlink w:anchor="s5">
        <w:r>
          <w:rPr>
            <w:color w:val="6639B7"/>
          </w:rPr>
          <w:t>4. Epics y fases</w:t>
        </w:r>
      </w:hyperlink>
    </w:p>
    <w:p>
      <w:pPr>
        <w:pStyle w:val="Small"/>
      </w:pPr>
      <w:hyperlink w:anchor="s6">
        <w:r>
          <w:rPr>
            <w:color w:val="6639B7"/>
          </w:rPr>
          <w:t>5. Mapa funcional integral</w:t>
        </w:r>
      </w:hyperlink>
    </w:p>
    <w:p>
      <w:pPr>
        <w:pStyle w:val="Small"/>
      </w:pPr>
      <w:hyperlink w:anchor="s7">
        <w:r>
          <w:rPr>
            <w:color w:val="6639B7"/>
          </w:rPr>
          <w:t>6. Arquitectura funcional e interconexión</w:t>
        </w:r>
      </w:hyperlink>
    </w:p>
    <w:p>
      <w:pPr>
        <w:pStyle w:val="Small"/>
      </w:pPr>
      <w:hyperlink w:anchor="s8">
        <w:r>
          <w:rPr>
            <w:color w:val="6639B7"/>
          </w:rPr>
          <w:t>7. Matriz de documentos</w:t>
        </w:r>
      </w:hyperlink>
    </w:p>
    <w:p>
      <w:pPr>
        <w:pStyle w:val="Small"/>
      </w:pPr>
      <w:hyperlink w:anchor="s9">
        <w:r>
          <w:rPr>
            <w:color w:val="6639B7"/>
          </w:rPr>
          <w:t>8. Riesgos, dependencias y decisiones</w:t>
        </w:r>
      </w:hyperlink>
    </w:p>
    <w:p>
      <w:pPr>
        <w:pStyle w:val="Small"/>
      </w:pPr>
      <w:hyperlink w:anchor="s10">
        <w:r>
          <w:rPr>
            <w:color w:val="6639B7"/>
          </w:rPr>
          <w:t>9. Métricas y criterios de éxito</w:t>
        </w:r>
      </w:hyperlink>
    </w:p>
    <w:p>
      <w:pPr>
        <w:pStyle w:val="Small"/>
      </w:pPr>
      <w:hyperlink w:anchor="s11">
        <w:r>
          <w:rPr>
            <w:color w:val="6639B7"/>
          </w:rPr>
          <w:t>10. Gobierno documental</w:t>
        </w:r>
      </w:hyperlink>
    </w:p>
    <w:p>
      <w:bookmarkStart w:id="1" w:name="s1"/>
      <w:pPr>
        <w:pStyle w:val="Heading1"/>
      </w:pPr>
      <w:r>
        <w:t>0. Ficha del proyecto</w:t>
      </w:r>
      <w:bookmarkEnd w:id="1"/>
    </w:p>
    <w:p>
      <w:r>
        <w:t>Proyecto integral: MVP0–MVP4; 17 módulos funcionales y backlog E00–E29. Responsables de definición: PO; de implementación: CTO; de aceptación: QA, Operación y Producto. Versión funcional V11; no equivale a release de software.</w:t>
      </w:r>
    </w:p>
    <w:p>
      <w:r>
        <w:t>Enlaces reales de Jira/Confluence se completan al importar. El índice HTML del paquete permite navegar los archivos entregados sin depender de nombres históricos.</w:t>
      </w:r>
    </w:p>
    <w:p>
      <w:bookmarkStart w:id="2" w:name="s2"/>
      <w:pPr>
        <w:pStyle w:val="Heading1"/>
      </w:pPr>
      <w:r>
        <w:t>1. Resumen ejecutivo</w:t>
      </w:r>
      <w:bookmarkEnd w:id="2"/>
    </w:p>
    <w:p>
      <w:r>
        <w:t>NEXT DOC AI convierte documentos en información trazable y, mediante módulos adicionales, en procesos documentales coordinados. La plataforma mantiene identidad, datos y autorización propios; Follow, CIMA y Valid360 pueden embeberla o integrarse por contratos controlados.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3" w:name="s3"/>
      <w:pPr>
        <w:pStyle w:val="Heading1"/>
      </w:pPr>
      <w:r>
        <w:t>2. Contexto estratégico y operación</w:t>
      </w:r>
      <w:bookmarkEnd w:id="3"/>
    </w:p>
    <w:p>
      <w:r>
        <w:t>Línea de partida al 05/09/2026: IA Docs está construido según estado reportado, con 247 pruebas (73 unitarias y 174 de integración), 13 controladores, 40 entidades y 20 migraciones. No se ejecutaron esas pruebas ni se inspeccionó el repositorio al preparar esta documentación. Certificación visual, corpus real, rotación de secreto y carga siguen pendientes de evidencia.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Capacidad</w:t>
            </w:r>
          </w:p>
        </w:tc>
        <w:tc>
          <w:tcPr>
            <w:tcW w:type="dxa" w:w="5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Estado reportado / acción V11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Portal/API; clasificación y captura genérica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Conservar; certificar UX y corpus.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Gemini / DeepSeek, revisión y aprendizaje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Conservar; verificar fallback, costo y aprobación de cambios.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IAM/SSO, webhooks, retención/hold/export, auditoría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Conservar; regresión y ampliar a procesos donde aplique.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Frontend login/resumen/bandeja/visor/excepciones/panel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Reportado funcional; recorrido humano pendiente; nuevas propuestas de tipo sin revisión visual completa.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Workflow y tareas de proceso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No implementados; construir sin reinterpretar excepciones como Workflow.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Email/WhatsApp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Retirados por producto; portal/API siguen siendo intake vigente.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UI automática y volumen real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No reportados como ejecutados; crear QA UI y medir capacidad.</w:t>
            </w:r>
          </w:p>
        </w:tc>
      </w:tr>
    </w:tbl>
    <w:p>
      <w:pPr>
        <w:pStyle w:val="Small"/>
      </w:pPr>
    </w:p>
    <w:p>
      <w:bookmarkStart w:id="4" w:name="s4"/>
      <w:pPr>
        <w:pStyle w:val="Heading1"/>
      </w:pPr>
      <w:r>
        <w:t>3. Casos de negocio transversales</w:t>
      </w:r>
      <w:bookmarkEnd w:id="4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100"/>
        <w:gridCol w:w="5260"/>
      </w:tblGrid>
      <w:tr>
        <w:trPr>
          <w:cantSplit/>
          <w:tblHeader/>
        </w:trPr>
        <w:tc>
          <w:tcPr>
            <w:tcW w:type="dxa" w:w="4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</w:t>
            </w:r>
          </w:p>
        </w:tc>
        <w:tc>
          <w:tcPr>
            <w:tcW w:type="dxa" w:w="5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Valor operativo</w:t>
            </w:r>
          </w:p>
        </w:tc>
      </w:tr>
      <w:tr>
        <w:trPr>
          <w:cantSplit/>
        </w:trPr>
        <w:tc>
          <w:tcPr>
            <w:tcW w:type="dxa" w:w="4100"/>
            <w:vAlign w:val="top"/>
          </w:tcPr>
          <w:p>
            <w:pPr>
              <w:pStyle w:val="TableText"/>
            </w:pPr>
            <w:r>
              <w:t>Documento sin tipo seleccionado</w:t>
            </w:r>
          </w:p>
        </w:tc>
        <w:tc>
          <w:tcPr>
            <w:tcW w:type="dxa" w:w="5260"/>
            <w:vAlign w:val="top"/>
          </w:tcPr>
          <w:p>
            <w:pPr>
              <w:pStyle w:val="TableText"/>
            </w:pPr>
            <w:r>
              <w:t>Clasificar o conservar captura genérica; revisión cuando no hay certeza.</w:t>
            </w:r>
          </w:p>
        </w:tc>
      </w:tr>
      <w:tr>
        <w:trPr>
          <w:cantSplit/>
        </w:trPr>
        <w:tc>
          <w:tcPr>
            <w:tcW w:type="dxa" w:w="4100"/>
            <w:vAlign w:val="top"/>
          </w:tcPr>
          <w:p>
            <w:pPr>
              <w:pStyle w:val="TableText"/>
            </w:pPr>
            <w:r>
              <w:t>Expediente con documentos contradictorios</w:t>
            </w:r>
          </w:p>
        </w:tc>
        <w:tc>
          <w:tcPr>
            <w:tcW w:type="dxa" w:w="5260"/>
            <w:vAlign w:val="top"/>
          </w:tcPr>
          <w:p>
            <w:pPr>
              <w:pStyle w:val="TableText"/>
            </w:pPr>
            <w:r>
              <w:t>Visualizar valores, policy y evidencia; corregir antes de transición sensible.</w:t>
            </w:r>
          </w:p>
        </w:tc>
      </w:tr>
      <w:tr>
        <w:trPr>
          <w:cantSplit/>
        </w:trPr>
        <w:tc>
          <w:tcPr>
            <w:tcW w:type="dxa" w:w="4100"/>
            <w:vAlign w:val="top"/>
          </w:tcPr>
          <w:p>
            <w:pPr>
              <w:pStyle w:val="TableText"/>
            </w:pPr>
            <w:r>
              <w:t>Tercero aporta documentación</w:t>
            </w:r>
          </w:p>
        </w:tc>
        <w:tc>
          <w:tcPr>
            <w:tcW w:type="dxa" w:w="5260"/>
            <w:vAlign w:val="top"/>
          </w:tcPr>
          <w:p>
            <w:pPr>
              <w:pStyle w:val="TableText"/>
            </w:pPr>
            <w:r>
              <w:t>Acción limitada y auditable, sin acceso general.</w:t>
            </w:r>
          </w:p>
        </w:tc>
      </w:tr>
      <w:tr>
        <w:trPr>
          <w:cantSplit/>
        </w:trPr>
        <w:tc>
          <w:tcPr>
            <w:tcW w:type="dxa" w:w="4100"/>
            <w:vAlign w:val="top"/>
          </w:tcPr>
          <w:p>
            <w:pPr>
              <w:pStyle w:val="TableText"/>
            </w:pPr>
            <w:r>
              <w:t>Operación Follow requiere readiness</w:t>
            </w:r>
          </w:p>
        </w:tc>
        <w:tc>
          <w:tcPr>
            <w:tcW w:type="dxa" w:w="5260"/>
            <w:vAlign w:val="top"/>
          </w:tcPr>
          <w:p>
            <w:pPr>
              <w:pStyle w:val="TableText"/>
            </w:pPr>
            <w:r>
              <w:t>Referencias canónicas y resultado documental; sin duplicar maestros logísticos.</w:t>
            </w:r>
          </w:p>
        </w:tc>
      </w:tr>
      <w:tr>
        <w:trPr>
          <w:cantSplit/>
        </w:trPr>
        <w:tc>
          <w:tcPr>
            <w:tcW w:type="dxa" w:w="4100"/>
            <w:vAlign w:val="top"/>
          </w:tcPr>
          <w:p>
            <w:pPr>
              <w:pStyle w:val="TableText"/>
            </w:pPr>
            <w:r>
              <w:t>Consultor implanta procesos</w:t>
            </w:r>
          </w:p>
        </w:tc>
        <w:tc>
          <w:tcPr>
            <w:tcW w:type="dxa" w:w="5260"/>
            <w:vAlign w:val="top"/>
          </w:tcPr>
          <w:p>
            <w:pPr>
              <w:pStyle w:val="TableText"/>
            </w:pPr>
            <w:r>
              <w:t>Plantillas versionadas y delegación por cliente.</w:t>
            </w:r>
          </w:p>
        </w:tc>
      </w:tr>
      <w:tr>
        <w:trPr>
          <w:cantSplit/>
        </w:trPr>
        <w:tc>
          <w:tcPr>
            <w:tcW w:type="dxa" w:w="4100"/>
            <w:vAlign w:val="top"/>
          </w:tcPr>
          <w:p>
            <w:pPr>
              <w:pStyle w:val="TableText"/>
            </w:pPr>
            <w:r>
              <w:t>Equipo mejora reglas con IA</w:t>
            </w:r>
          </w:p>
        </w:tc>
        <w:tc>
          <w:tcPr>
            <w:tcW w:type="dxa" w:w="5260"/>
            <w:vAlign w:val="top"/>
          </w:tcPr>
          <w:p>
            <w:pPr>
              <w:pStyle w:val="TableText"/>
            </w:pPr>
            <w:r>
              <w:t>Propuesta explicable y simulada, con aprobación humana.</w:t>
            </w:r>
          </w:p>
        </w:tc>
      </w:tr>
    </w:tbl>
    <w:p>
      <w:pPr>
        <w:pStyle w:val="Small"/>
      </w:pPr>
    </w:p>
    <w:p>
      <w:bookmarkStart w:id="5" w:name="s5"/>
      <w:pPr>
        <w:pStyle w:val="Heading1"/>
      </w:pPr>
      <w:r>
        <w:t>4. Epics y fases</w:t>
      </w:r>
      <w:bookmarkEnd w:id="5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2600"/>
        <w:gridCol w:w="37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26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Módulos</w:t>
            </w:r>
          </w:p>
        </w:tc>
        <w:tc>
          <w:tcPr>
            <w:tcW w:type="dxa" w:w="37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MVP0 · Comercial</w:t>
            </w:r>
          </w:p>
        </w:tc>
        <w:tc>
          <w:tcPr>
            <w:tcW w:type="dxa" w:w="2600"/>
            <w:vAlign w:val="top"/>
          </w:tcPr>
          <w:p>
            <w:pPr>
              <w:pStyle w:val="TableText"/>
            </w:pPr>
            <w:r>
              <w:t>DOC, IAM, WFL, STU, SUP, COM, GOV, REL</w:t>
            </w:r>
          </w:p>
        </w:tc>
        <w:tc>
          <w:tcPr>
            <w:tcW w:type="dxa" w:w="3760"/>
            <w:vAlign w:val="top"/>
          </w:tcPr>
          <w:p>
            <w:pPr>
              <w:pStyle w:val="TableText"/>
            </w:pPr>
            <w:r>
              <w:t>Core certificado y procesos comerciales nuevos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MVP1 · Studio y Partners</w:t>
            </w:r>
          </w:p>
        </w:tc>
        <w:tc>
          <w:tcPr>
            <w:tcW w:type="dxa" w:w="2600"/>
            <w:vAlign w:val="top"/>
          </w:tcPr>
          <w:p>
            <w:pPr>
              <w:pStyle w:val="TableText"/>
            </w:pPr>
            <w:r>
              <w:t>CAN, PAR, CHN</w:t>
            </w:r>
          </w:p>
        </w:tc>
        <w:tc>
          <w:tcPr>
            <w:tcW w:type="dxa" w:w="3760"/>
            <w:vAlign w:val="top"/>
          </w:tcPr>
          <w:p>
            <w:pPr>
              <w:pStyle w:val="TableText"/>
            </w:pPr>
            <w:r>
              <w:t>Implantación escalable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MVP2 · Marketplace</w:t>
            </w:r>
          </w:p>
        </w:tc>
        <w:tc>
          <w:tcPr>
            <w:tcW w:type="dxa" w:w="2600"/>
            <w:vAlign w:val="top"/>
          </w:tcPr>
          <w:p>
            <w:pPr>
              <w:pStyle w:val="TableText"/>
            </w:pPr>
            <w:r>
              <w:t>MKT, UPG</w:t>
            </w:r>
          </w:p>
        </w:tc>
        <w:tc>
          <w:tcPr>
            <w:tcW w:type="dxa" w:w="3760"/>
            <w:vAlign w:val="top"/>
          </w:tcPr>
          <w:p>
            <w:pPr>
              <w:pStyle w:val="TableText"/>
            </w:pPr>
            <w:r>
              <w:t>Ecosistema transaccional controlado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MVP3 · IA avanzada</w:t>
            </w:r>
          </w:p>
        </w:tc>
        <w:tc>
          <w:tcPr>
            <w:tcW w:type="dxa" w:w="2600"/>
            <w:vAlign w:val="top"/>
          </w:tcPr>
          <w:p>
            <w:pPr>
              <w:pStyle w:val="TableText"/>
            </w:pPr>
            <w:r>
              <w:t>SEN, COP</w:t>
            </w:r>
          </w:p>
        </w:tc>
        <w:tc>
          <w:tcPr>
            <w:tcW w:type="dxa" w:w="3760"/>
            <w:vAlign w:val="top"/>
          </w:tcPr>
          <w:p>
            <w:pPr>
              <w:pStyle w:val="TableText"/>
            </w:pPr>
            <w:r>
              <w:t>IA explicable y simulada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MVP4 · Enterprise Scale</w:t>
            </w:r>
          </w:p>
        </w:tc>
        <w:tc>
          <w:tcPr>
            <w:tcW w:type="dxa" w:w="2600"/>
            <w:vAlign w:val="top"/>
          </w:tcPr>
          <w:p>
            <w:pPr>
              <w:pStyle w:val="TableText"/>
            </w:pPr>
            <w:r>
              <w:t>ENT, DR</w:t>
            </w:r>
          </w:p>
        </w:tc>
        <w:tc>
          <w:tcPr>
            <w:tcW w:type="dxa" w:w="3760"/>
            <w:vAlign w:val="top"/>
          </w:tcPr>
          <w:p>
            <w:pPr>
              <w:pStyle w:val="TableText"/>
            </w:pPr>
            <w:r>
              <w:t>Servicio enterprise medido</w:t>
            </w:r>
          </w:p>
        </w:tc>
      </w:tr>
    </w:tbl>
    <w:p>
      <w:pPr>
        <w:pStyle w:val="Small"/>
      </w:pP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Roadmap funcional. G-DEMO puede cerrarse antes del desarrollo de Workflow comercial.</w:t>
      </w:r>
    </w:p>
    <w:p>
      <w:bookmarkStart w:id="6" w:name="s6"/>
      <w:pPr>
        <w:pStyle w:val="Heading1"/>
      </w:pPr>
      <w:r>
        <w:t>5. Mapa funcional integral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netwo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Interconexión del core y módulos de proceso. IAM y GOV son transversales; las flechas representan intercambio funcional.</w:t>
      </w:r>
    </w:p>
    <w:p>
      <w:r>
        <w:t>El ingreso valida identidad y archivo; DOC produce facts y excepciones. STU publica definiciones; WFL ejecuta tareas sobre documentos; SUP evalúa políticas; COM traduce contexto y readiness hacia Follow. GOV conserva audit, originales, exports y métricas. No se traslada el estado fuente a un canal de mensajería ni al sistema host.</w:t>
      </w:r>
    </w:p>
    <w:p>
      <w:bookmarkStart w:id="7" w:name="s7"/>
      <w:pPr>
        <w:pStyle w:val="Heading1"/>
      </w:pPr>
      <w:r>
        <w:t>6. Arquitectura funcional e interconexión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Herramienta / capa</w:t>
            </w:r>
          </w:p>
        </w:tc>
        <w:tc>
          <w:tcPr>
            <w:tcW w:type="dxa" w:w="6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Responsabilidad y frontera</w:t>
            </w:r>
          </w:p>
        </w:tc>
      </w:tr>
      <w:tr>
        <w:trPr>
          <w:cantSplit/>
        </w:trPr>
        <w:tc>
          <w:tcPr>
            <w:tcW w:type="dxa" w:w="3200"/>
            <w:vAlign w:val="top"/>
          </w:tcPr>
          <w:p>
            <w:pPr>
              <w:pStyle w:val="TableText"/>
            </w:pPr>
            <w:r>
              <w:t>Portal y API</w:t>
            </w:r>
          </w:p>
        </w:tc>
        <w:tc>
          <w:tcPr>
            <w:tcW w:type="dxa" w:w="6160"/>
            <w:vAlign w:val="top"/>
          </w:tcPr>
          <w:p>
            <w:pPr>
              <w:pStyle w:val="TableText"/>
            </w:pPr>
            <w:r>
              <w:t>Ingreso vigente, sesión y respuestas funcionales.</w:t>
            </w:r>
          </w:p>
        </w:tc>
      </w:tr>
      <w:tr>
        <w:trPr>
          <w:cantSplit/>
        </w:trPr>
        <w:tc>
          <w:tcPr>
            <w:tcW w:type="dxa" w:w="3200"/>
            <w:vAlign w:val="top"/>
          </w:tcPr>
          <w:p>
            <w:pPr>
              <w:pStyle w:val="TableText"/>
            </w:pPr>
            <w:r>
              <w:t>Follow / CIMA / Valid360</w:t>
            </w:r>
          </w:p>
        </w:tc>
        <w:tc>
          <w:tcPr>
            <w:tcW w:type="dxa" w:w="6160"/>
            <w:vAlign w:val="top"/>
          </w:tcPr>
          <w:p>
            <w:pPr>
              <w:pStyle w:val="TableText"/>
            </w:pPr>
            <w:r>
              <w:t>Hosts e integraciones; no otorgan permisos internos por sí mismos.</w:t>
            </w:r>
          </w:p>
        </w:tc>
      </w:tr>
      <w:tr>
        <w:trPr>
          <w:cantSplit/>
        </w:trPr>
        <w:tc>
          <w:tcPr>
            <w:tcW w:type="dxa" w:w="3200"/>
            <w:vAlign w:val="top"/>
          </w:tcPr>
          <w:p>
            <w:pPr>
              <w:pStyle w:val="TableText"/>
            </w:pPr>
            <w:r>
              <w:t>PostgreSQL / Redis / MinIO / Keycloak</w:t>
            </w:r>
          </w:p>
        </w:tc>
        <w:tc>
          <w:tcPr>
            <w:tcW w:type="dxa" w:w="6160"/>
            <w:vAlign w:val="top"/>
          </w:tcPr>
          <w:p>
            <w:pPr>
              <w:pStyle w:val="TableText"/>
            </w:pPr>
            <w:r>
              <w:t>Dependencias reportadas de integración; topología/versiones se confirman en repositorio.</w:t>
            </w:r>
          </w:p>
        </w:tc>
      </w:tr>
      <w:tr>
        <w:trPr>
          <w:cantSplit/>
        </w:trPr>
        <w:tc>
          <w:tcPr>
            <w:tcW w:type="dxa" w:w="3200"/>
            <w:vAlign w:val="top"/>
          </w:tcPr>
          <w:p>
            <w:pPr>
              <w:pStyle w:val="TableText"/>
            </w:pPr>
            <w:r>
              <w:t>Proveedores IA</w:t>
            </w:r>
          </w:p>
        </w:tc>
        <w:tc>
          <w:tcPr>
            <w:tcW w:type="dxa" w:w="6160"/>
            <w:vAlign w:val="top"/>
          </w:tcPr>
          <w:p>
            <w:pPr>
              <w:pStyle w:val="TableText"/>
            </w:pPr>
            <w:r>
              <w:t>Extracción actual Gemini con DeepSeek de respaldo; política de datos/costo precede fallback.</w:t>
            </w:r>
          </w:p>
        </w:tc>
      </w:tr>
      <w:tr>
        <w:trPr>
          <w:cantSplit/>
        </w:trPr>
        <w:tc>
          <w:tcPr>
            <w:tcW w:type="dxa" w:w="3200"/>
            <w:vAlign w:val="top"/>
          </w:tcPr>
          <w:p>
            <w:pPr>
              <w:pStyle w:val="TableText"/>
            </w:pPr>
            <w:r>
              <w:t>Jira / Confluence</w:t>
            </w:r>
          </w:p>
        </w:tc>
        <w:tc>
          <w:tcPr>
            <w:tcW w:type="dxa" w:w="6160"/>
            <w:vAlign w:val="top"/>
          </w:tcPr>
          <w:p>
            <w:pPr>
              <w:pStyle w:val="TableText"/>
            </w:pPr>
            <w:r>
              <w:t>Ejecución y documentación conectadas mediante códigos, no tickets ficticios.</w:t>
            </w:r>
          </w:p>
        </w:tc>
      </w:tr>
      <w:tr>
        <w:trPr>
          <w:cantSplit/>
        </w:trPr>
        <w:tc>
          <w:tcPr>
            <w:tcW w:type="dxa" w:w="3200"/>
            <w:vAlign w:val="top"/>
          </w:tcPr>
          <w:p>
            <w:pPr>
              <w:pStyle w:val="TableText"/>
            </w:pPr>
            <w:r>
              <w:t>Figma / Figma Make</w:t>
            </w:r>
          </w:p>
        </w:tc>
        <w:tc>
          <w:tcPr>
            <w:tcW w:type="dxa" w:w="6160"/>
            <w:vAlign w:val="top"/>
          </w:tcPr>
          <w:p>
            <w:pPr>
              <w:pStyle w:val="TableText"/>
            </w:pPr>
            <w:r>
              <w:t>Diseño y prototipo de UX; no imponen endpoints.</w:t>
            </w:r>
          </w:p>
        </w:tc>
      </w:tr>
      <w:tr>
        <w:trPr>
          <w:cantSplit/>
        </w:trPr>
        <w:tc>
          <w:tcPr>
            <w:tcW w:type="dxa" w:w="3200"/>
            <w:vAlign w:val="top"/>
          </w:tcPr>
          <w:p>
            <w:pPr>
              <w:pStyle w:val="TableText"/>
            </w:pPr>
            <w:r>
              <w:t>Devin</w:t>
            </w:r>
          </w:p>
        </w:tc>
        <w:tc>
          <w:tcPr>
            <w:tcW w:type="dxa" w:w="6160"/>
            <w:vAlign w:val="top"/>
          </w:tcPr>
          <w:p>
            <w:pPr>
              <w:pStyle w:val="TableText"/>
            </w:pPr>
            <w:r>
              <w:t>Análisis de documentación, estado real y brechas; no evidencia automática de implementación.</w:t>
            </w:r>
          </w:p>
        </w:tc>
      </w:tr>
    </w:tbl>
    <w:p>
      <w:pPr>
        <w:pStyle w:val="Small"/>
      </w:pPr>
    </w:p>
    <w:p>
      <w:bookmarkStart w:id="8" w:name="s8"/>
      <w:pPr>
        <w:pStyle w:val="Heading1"/>
      </w:pPr>
      <w:r>
        <w:t>7. Matriz de documentos</w:t>
      </w:r>
      <w:bookmarkEnd w:id="8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500"/>
        <w:gridCol w:w="5860"/>
      </w:tblGrid>
      <w:tr>
        <w:trPr>
          <w:cantSplit/>
          <w:tblHeader/>
        </w:trPr>
        <w:tc>
          <w:tcPr>
            <w:tcW w:type="dxa" w:w="3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58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Nivel y ruta lógica</w:t>
            </w:r>
          </w:p>
        </w:tc>
      </w:tr>
      <w:tr>
        <w:trPr>
          <w:cantSplit/>
        </w:trPr>
        <w:tc>
          <w:tcPr>
            <w:tcW w:type="dxa" w:w="3500"/>
            <w:vAlign w:val="top"/>
          </w:tcPr>
          <w:p>
            <w:pPr>
              <w:pStyle w:val="TableText"/>
            </w:pPr>
            <w:r>
              <w:t>DOC · IA Docs: ingesta, extracción y revisión</w:t>
            </w:r>
          </w:p>
        </w:tc>
        <w:tc>
          <w:tcPr>
            <w:tcW w:type="dxa" w:w="5860"/>
            <w:vAlign w:val="top"/>
          </w:tcPr>
          <w:p>
            <w:pPr>
              <w:pStyle w:val="TableText"/>
            </w:pPr>
            <w:r>
              <w:t>N1-MVP0-V11-PRD → N2-MVP0-V11-DOC → N3-MVP0-V11-DOC</w:t>
            </w:r>
          </w:p>
        </w:tc>
      </w:tr>
      <w:tr>
        <w:trPr>
          <w:cantSplit/>
        </w:trPr>
        <w:tc>
          <w:tcPr>
            <w:tcW w:type="dxa" w:w="3500"/>
            <w:vAlign w:val="top"/>
          </w:tcPr>
          <w:p>
            <w:pPr>
              <w:pStyle w:val="TableText"/>
            </w:pPr>
            <w:r>
              <w:t>IAM · Identidad, tenancy y colaboración externa</w:t>
            </w:r>
          </w:p>
        </w:tc>
        <w:tc>
          <w:tcPr>
            <w:tcW w:type="dxa" w:w="5860"/>
            <w:vAlign w:val="top"/>
          </w:tcPr>
          <w:p>
            <w:pPr>
              <w:pStyle w:val="TableText"/>
            </w:pPr>
            <w:r>
              <w:t>N1-MVP0-V11-PRD → N2-MVP0-V11-IAM → N3-MVP0-V11-IAM</w:t>
            </w:r>
          </w:p>
        </w:tc>
      </w:tr>
      <w:tr>
        <w:trPr>
          <w:cantSplit/>
        </w:trPr>
        <w:tc>
          <w:tcPr>
            <w:tcW w:type="dxa" w:w="3500"/>
            <w:vAlign w:val="top"/>
          </w:tcPr>
          <w:p>
            <w:pPr>
              <w:pStyle w:val="TableText"/>
            </w:pPr>
            <w:r>
              <w:t>WFL · Workflow Core y tareas documentales</w:t>
            </w:r>
          </w:p>
        </w:tc>
        <w:tc>
          <w:tcPr>
            <w:tcW w:type="dxa" w:w="5860"/>
            <w:vAlign w:val="top"/>
          </w:tcPr>
          <w:p>
            <w:pPr>
              <w:pStyle w:val="TableText"/>
            </w:pPr>
            <w:r>
              <w:t>N1-MVP0-V11-PRD → N2-MVP0-V11-WFL → N3-MVP0-V11-WFL</w:t>
            </w:r>
          </w:p>
        </w:tc>
      </w:tr>
      <w:tr>
        <w:trPr>
          <w:cantSplit/>
        </w:trPr>
        <w:tc>
          <w:tcPr>
            <w:tcW w:type="dxa" w:w="3500"/>
            <w:vAlign w:val="top"/>
          </w:tcPr>
          <w:p>
            <w:pPr>
              <w:pStyle w:val="TableText"/>
            </w:pPr>
            <w:r>
              <w:t>STU · Template Registry y Studio guiado</w:t>
            </w:r>
          </w:p>
        </w:tc>
        <w:tc>
          <w:tcPr>
            <w:tcW w:type="dxa" w:w="5860"/>
            <w:vAlign w:val="top"/>
          </w:tcPr>
          <w:p>
            <w:pPr>
              <w:pStyle w:val="TableText"/>
            </w:pPr>
            <w:r>
              <w:t>N1-MVP0-V11-PRD → N2-MVP0-V11-STU → N3-MVP0-V11-STU</w:t>
            </w:r>
          </w:p>
        </w:tc>
      </w:tr>
      <w:tr>
        <w:trPr>
          <w:cantSplit/>
        </w:trPr>
        <w:tc>
          <w:tcPr>
            <w:tcW w:type="dxa" w:w="3500"/>
            <w:vAlign w:val="top"/>
          </w:tcPr>
          <w:p>
            <w:pPr>
              <w:pStyle w:val="TableText"/>
            </w:pPr>
            <w:r>
              <w:t>SUP · Supervisor de procesos v0</w:t>
            </w:r>
          </w:p>
        </w:tc>
        <w:tc>
          <w:tcPr>
            <w:tcW w:type="dxa" w:w="5860"/>
            <w:vAlign w:val="top"/>
          </w:tcPr>
          <w:p>
            <w:pPr>
              <w:pStyle w:val="TableText"/>
            </w:pPr>
            <w:r>
              <w:t>N1-MVP0-V11-PRD → N2-MVP0-V11-SUP → N3-MVP0-V11-SUP</w:t>
            </w:r>
          </w:p>
        </w:tc>
      </w:tr>
      <w:tr>
        <w:trPr>
          <w:cantSplit/>
        </w:trPr>
        <w:tc>
          <w:tcPr>
            <w:tcW w:type="dxa" w:w="3500"/>
            <w:vAlign w:val="top"/>
          </w:tcPr>
          <w:p>
            <w:pPr>
              <w:pStyle w:val="TableText"/>
            </w:pPr>
            <w:r>
              <w:t>COM · COMEX, overlays y conector Follow</w:t>
            </w:r>
          </w:p>
        </w:tc>
        <w:tc>
          <w:tcPr>
            <w:tcW w:type="dxa" w:w="5860"/>
            <w:vAlign w:val="top"/>
          </w:tcPr>
          <w:p>
            <w:pPr>
              <w:pStyle w:val="TableText"/>
            </w:pPr>
            <w:r>
              <w:t>N1-MVP0-V11-PRD → N2-MVP0-V11-COM → N3-MVP0-V11-COM</w:t>
            </w:r>
          </w:p>
        </w:tc>
      </w:tr>
      <w:tr>
        <w:trPr>
          <w:cantSplit/>
        </w:trPr>
        <w:tc>
          <w:tcPr>
            <w:tcW w:type="dxa" w:w="3500"/>
            <w:vAlign w:val="top"/>
          </w:tcPr>
          <w:p>
            <w:pPr>
              <w:pStyle w:val="TableText"/>
            </w:pPr>
            <w:r>
              <w:t>GOV · DMS, auditoría, KPI y control de costo</w:t>
            </w:r>
          </w:p>
        </w:tc>
        <w:tc>
          <w:tcPr>
            <w:tcW w:type="dxa" w:w="5860"/>
            <w:vAlign w:val="top"/>
          </w:tcPr>
          <w:p>
            <w:pPr>
              <w:pStyle w:val="TableText"/>
            </w:pPr>
            <w:r>
              <w:t>N1-MVP0-V11-PRD → N2-MVP0-V11-GOV → N3-MVP0-V11-GOV</w:t>
            </w:r>
          </w:p>
        </w:tc>
      </w:tr>
      <w:tr>
        <w:trPr>
          <w:cantSplit/>
        </w:trPr>
        <w:tc>
          <w:tcPr>
            <w:tcW w:type="dxa" w:w="3500"/>
            <w:vAlign w:val="top"/>
          </w:tcPr>
          <w:p>
            <w:pPr>
              <w:pStyle w:val="TableText"/>
            </w:pPr>
            <w:r>
              <w:t>REL · Certificación, regresión y release</w:t>
            </w:r>
          </w:p>
        </w:tc>
        <w:tc>
          <w:tcPr>
            <w:tcW w:type="dxa" w:w="5860"/>
            <w:vAlign w:val="top"/>
          </w:tcPr>
          <w:p>
            <w:pPr>
              <w:pStyle w:val="TableText"/>
            </w:pPr>
            <w:r>
              <w:t>N1-MVP0-V11-PRD → N2-MVP0-V11-REL → N3-MVP0-V11-REL</w:t>
            </w:r>
          </w:p>
        </w:tc>
      </w:tr>
      <w:tr>
        <w:trPr>
          <w:cantSplit/>
        </w:trPr>
        <w:tc>
          <w:tcPr>
            <w:tcW w:type="dxa" w:w="3500"/>
            <w:vAlign w:val="top"/>
          </w:tcPr>
          <w:p>
            <w:pPr>
              <w:pStyle w:val="TableText"/>
            </w:pPr>
            <w:r>
              <w:t>CAN · Canvas, Schema Studio y evolución de plantillas</w:t>
            </w:r>
          </w:p>
        </w:tc>
        <w:tc>
          <w:tcPr>
            <w:tcW w:type="dxa" w:w="5860"/>
            <w:vAlign w:val="top"/>
          </w:tcPr>
          <w:p>
            <w:pPr>
              <w:pStyle w:val="TableText"/>
            </w:pPr>
            <w:r>
              <w:t>N1-MVP1-V11-PRD → N2-MVP1-V11-CAN → N3-MVP1-V11-CAN</w:t>
            </w:r>
          </w:p>
        </w:tc>
      </w:tr>
      <w:tr>
        <w:trPr>
          <w:cantSplit/>
        </w:trPr>
        <w:tc>
          <w:tcPr>
            <w:tcW w:type="dxa" w:w="3500"/>
            <w:vAlign w:val="top"/>
          </w:tcPr>
          <w:p>
            <w:pPr>
              <w:pStyle w:val="TableText"/>
            </w:pPr>
            <w:r>
              <w:t>PAR · Partner Workspace y gestión delegada</w:t>
            </w:r>
          </w:p>
        </w:tc>
        <w:tc>
          <w:tcPr>
            <w:tcW w:type="dxa" w:w="5860"/>
            <w:vAlign w:val="top"/>
          </w:tcPr>
          <w:p>
            <w:pPr>
              <w:pStyle w:val="TableText"/>
            </w:pPr>
            <w:r>
              <w:t>N1-MVP1-V11-PRD → N2-MVP1-V11-PAR → N3-MVP1-V11-PAR</w:t>
            </w:r>
          </w:p>
        </w:tc>
      </w:tr>
      <w:tr>
        <w:trPr>
          <w:cantSplit/>
        </w:trPr>
        <w:tc>
          <w:tcPr>
            <w:tcW w:type="dxa" w:w="3500"/>
            <w:vAlign w:val="top"/>
          </w:tcPr>
          <w:p>
            <w:pPr>
              <w:pStyle w:val="TableText"/>
            </w:pPr>
            <w:r>
              <w:t>CHN · Canales, firma y experiencia móvil</w:t>
            </w:r>
          </w:p>
        </w:tc>
        <w:tc>
          <w:tcPr>
            <w:tcW w:type="dxa" w:w="5860"/>
            <w:vAlign w:val="top"/>
          </w:tcPr>
          <w:p>
            <w:pPr>
              <w:pStyle w:val="TableText"/>
            </w:pPr>
            <w:r>
              <w:t>N1-MVP1-V11-PRD → N2-MVP1-V11-CHN → N3-MVP1-V11-CHN</w:t>
            </w:r>
          </w:p>
        </w:tc>
      </w:tr>
      <w:tr>
        <w:trPr>
          <w:cantSplit/>
        </w:trPr>
        <w:tc>
          <w:tcPr>
            <w:tcW w:type="dxa" w:w="3500"/>
            <w:vAlign w:val="top"/>
          </w:tcPr>
          <w:p>
            <w:pPr>
              <w:pStyle w:val="TableText"/>
            </w:pPr>
            <w:r>
              <w:t>MKT · Catálogo, certificación y economía Marketplace</w:t>
            </w:r>
          </w:p>
        </w:tc>
        <w:tc>
          <w:tcPr>
            <w:tcW w:type="dxa" w:w="5860"/>
            <w:vAlign w:val="top"/>
          </w:tcPr>
          <w:p>
            <w:pPr>
              <w:pStyle w:val="TableText"/>
            </w:pPr>
            <w:r>
              <w:t>N1-MVP2-V11-PRD → N2-MVP2-V11-MKT → N3-MVP2-V11-MKT</w:t>
            </w:r>
          </w:p>
        </w:tc>
      </w:tr>
      <w:tr>
        <w:trPr>
          <w:cantSplit/>
        </w:trPr>
        <w:tc>
          <w:tcPr>
            <w:tcW w:type="dxa" w:w="3500"/>
            <w:vAlign w:val="top"/>
          </w:tcPr>
          <w:p>
            <w:pPr>
              <w:pStyle w:val="TableText"/>
            </w:pPr>
            <w:r>
              <w:t>UPG · Instalación, actualizaciones y compatibilidad</w:t>
            </w:r>
          </w:p>
        </w:tc>
        <w:tc>
          <w:tcPr>
            <w:tcW w:type="dxa" w:w="5860"/>
            <w:vAlign w:val="top"/>
          </w:tcPr>
          <w:p>
            <w:pPr>
              <w:pStyle w:val="TableText"/>
            </w:pPr>
            <w:r>
              <w:t>N1-MVP2-V11-PRD → N2-MVP2-V11-UPG → N3-MVP2-V11-UPG</w:t>
            </w:r>
          </w:p>
        </w:tc>
      </w:tr>
      <w:tr>
        <w:trPr>
          <w:cantSplit/>
        </w:trPr>
        <w:tc>
          <w:tcPr>
            <w:tcW w:type="dxa" w:w="3500"/>
            <w:vAlign w:val="top"/>
          </w:tcPr>
          <w:p>
            <w:pPr>
              <w:pStyle w:val="TableText"/>
            </w:pPr>
            <w:r>
              <w:t>SEN · Process Facts, grafo y Sentinel incremental</w:t>
            </w:r>
          </w:p>
        </w:tc>
        <w:tc>
          <w:tcPr>
            <w:tcW w:type="dxa" w:w="5860"/>
            <w:vAlign w:val="top"/>
          </w:tcPr>
          <w:p>
            <w:pPr>
              <w:pStyle w:val="TableText"/>
            </w:pPr>
            <w:r>
              <w:t>N1-MVP3-V11-PRD → N2-MVP3-V11-SEN → N3-MVP3-V11-SEN</w:t>
            </w:r>
          </w:p>
        </w:tc>
      </w:tr>
      <w:tr>
        <w:trPr>
          <w:cantSplit/>
        </w:trPr>
        <w:tc>
          <w:tcPr>
            <w:tcW w:type="dxa" w:w="3500"/>
            <w:vAlign w:val="top"/>
          </w:tcPr>
          <w:p>
            <w:pPr>
              <w:pStyle w:val="TableText"/>
            </w:pPr>
            <w:r>
              <w:t>COP · Simulation Lab y Process Copilot</w:t>
            </w:r>
          </w:p>
        </w:tc>
        <w:tc>
          <w:tcPr>
            <w:tcW w:type="dxa" w:w="5860"/>
            <w:vAlign w:val="top"/>
          </w:tcPr>
          <w:p>
            <w:pPr>
              <w:pStyle w:val="TableText"/>
            </w:pPr>
            <w:r>
              <w:t>N1-MVP3-V11-PRD → N2-MVP3-V11-COP → N3-MVP3-V11-COP</w:t>
            </w:r>
          </w:p>
        </w:tc>
      </w:tr>
      <w:tr>
        <w:trPr>
          <w:cantSplit/>
        </w:trPr>
        <w:tc>
          <w:tcPr>
            <w:tcW w:type="dxa" w:w="3500"/>
            <w:vAlign w:val="top"/>
          </w:tcPr>
          <w:p>
            <w:pPr>
              <w:pStyle w:val="TableText"/>
            </w:pPr>
            <w:r>
              <w:t>ENT · Gobierno e integración enterprise</w:t>
            </w:r>
          </w:p>
        </w:tc>
        <w:tc>
          <w:tcPr>
            <w:tcW w:type="dxa" w:w="5860"/>
            <w:vAlign w:val="top"/>
          </w:tcPr>
          <w:p>
            <w:pPr>
              <w:pStyle w:val="TableText"/>
            </w:pPr>
            <w:r>
              <w:t>N1-MVP4-V11-PRD → N2-MVP4-V11-ENT → N3-MVP4-V11-ENT</w:t>
            </w:r>
          </w:p>
        </w:tc>
      </w:tr>
      <w:tr>
        <w:trPr>
          <w:cantSplit/>
        </w:trPr>
        <w:tc>
          <w:tcPr>
            <w:tcW w:type="dxa" w:w="3500"/>
            <w:vAlign w:val="top"/>
          </w:tcPr>
          <w:p>
            <w:pPr>
              <w:pStyle w:val="TableText"/>
            </w:pPr>
            <w:r>
              <w:t>DR · Continuidad, capacidad y recuperación</w:t>
            </w:r>
          </w:p>
        </w:tc>
        <w:tc>
          <w:tcPr>
            <w:tcW w:type="dxa" w:w="5860"/>
            <w:vAlign w:val="top"/>
          </w:tcPr>
          <w:p>
            <w:pPr>
              <w:pStyle w:val="TableText"/>
            </w:pPr>
            <w:r>
              <w:t>N1-MVP4-V11-PRD → N2-MVP4-V11-DR → N3-MVP4-V11-DR</w:t>
            </w:r>
          </w:p>
        </w:tc>
      </w:tr>
    </w:tbl>
    <w:p>
      <w:pPr>
        <w:pStyle w:val="Small"/>
      </w:pPr>
    </w:p>
    <w:p>
      <w:r>
        <w:t>Complementos: N0-V11-ROADMAP, N0-V11-INTERCONEXIONES, N0-V11-CIERRE-MVP0 y ANX-A a ANX-L. Matrices de QA y backlog conservan claves de relación.</w:t>
      </w:r>
    </w:p>
    <w:p>
      <w:bookmarkStart w:id="9" w:name="s9"/>
      <w:pPr>
        <w:pStyle w:val="Heading1"/>
      </w:pPr>
      <w:r>
        <w:t>8. Riesgos, dependencias y decisiones</w:t>
      </w:r>
      <w:bookmarkEnd w:id="9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800"/>
        <w:gridCol w:w="5560"/>
      </w:tblGrid>
      <w:tr>
        <w:trPr>
          <w:cantSplit/>
          <w:tblHeader/>
        </w:trPr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55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/ owner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Estado reportado tomado como probado</w:t>
            </w:r>
          </w:p>
        </w:tc>
        <w:tc>
          <w:tcPr>
            <w:tcW w:type="dxa" w:w="5560"/>
            <w:vAlign w:val="top"/>
          </w:tcPr>
          <w:p>
            <w:pPr>
              <w:pStyle w:val="TableText"/>
            </w:pPr>
            <w:r>
              <w:t>Registrar build y evidencias reales; QA/CTO.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Rehacer core al construir procesos</w:t>
            </w:r>
          </w:p>
        </w:tc>
        <w:tc>
          <w:tcPr>
            <w:tcW w:type="dxa" w:w="5560"/>
            <w:vAlign w:val="top"/>
          </w:tcPr>
          <w:p>
            <w:pPr>
              <w:pStyle w:val="TableText"/>
            </w:pPr>
            <w:r>
              <w:t>KEEP/ADJUST/BUILD por módulo; CTO.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Contratos externos no confirmados</w:t>
            </w:r>
          </w:p>
        </w:tc>
        <w:tc>
          <w:tcPr>
            <w:tcW w:type="dxa" w:w="5560"/>
            <w:vAlign w:val="top"/>
          </w:tcPr>
          <w:p>
            <w:pPr>
              <w:pStyle w:val="TableText"/>
            </w:pPr>
            <w:r>
              <w:t>Mapping funcional y pruebas de contrato antes de piloto; Integraciones.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Firma, país y privacidad indefinidos</w:t>
            </w:r>
          </w:p>
        </w:tc>
        <w:tc>
          <w:tcPr>
            <w:tcW w:type="dxa" w:w="5560"/>
            <w:vAlign w:val="top"/>
          </w:tcPr>
          <w:p>
            <w:pPr>
              <w:pStyle w:val="TableText"/>
            </w:pPr>
            <w:r>
              <w:t>Política aprobada por caso antes de activar; PO/Security.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Regresión por versiones y concurrencia</w:t>
            </w:r>
          </w:p>
        </w:tc>
        <w:tc>
          <w:tcPr>
            <w:tcW w:type="dxa" w:w="5560"/>
            <w:vAlign w:val="top"/>
          </w:tcPr>
          <w:p>
            <w:pPr>
              <w:pStyle w:val="TableText"/>
            </w:pPr>
            <w:r>
              <w:t>CP de replay, snapshot y conflicto; QA.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Extensión documental usada como calidad</w:t>
            </w:r>
          </w:p>
        </w:tc>
        <w:tc>
          <w:tcPr>
            <w:tcW w:type="dxa" w:w="5560"/>
            <w:vAlign w:val="top"/>
          </w:tcPr>
          <w:p>
            <w:pPr>
              <w:pStyle w:val="TableText"/>
            </w:pPr>
            <w:r>
              <w:t>Aceptación por resultados verificables; PO.</w:t>
            </w:r>
          </w:p>
        </w:tc>
      </w:tr>
    </w:tbl>
    <w:p>
      <w:pPr>
        <w:pStyle w:val="Small"/>
      </w:pPr>
    </w:p>
    <w:p>
      <w:bookmarkStart w:id="10" w:name="s10"/>
      <w:pPr>
        <w:pStyle w:val="Heading1"/>
      </w:pPr>
      <w:r>
        <w:t>9. Métricas y criterios de éxito</w:t>
      </w:r>
      <w:bookmarkEnd w:id="10"/>
    </w:p>
    <w:p>
      <w:r>
        <w:t>G-DEMO requiere cuatro validaciones concretas: navegador, visor genérico, corpus real y secretos. 0H agrega las capacidades comerciales. Cada fase usa sus gates con evidencia de QA, integración y operación.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67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 / tratamiento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TableText"/>
            </w:pPr>
            <w:r>
              <w:t>Calidad por campo</w:t>
            </w:r>
          </w:p>
        </w:tc>
        <w:tc>
          <w:tcPr>
            <w:tcW w:type="dxa" w:w="6760"/>
            <w:vAlign w:val="top"/>
          </w:tcPr>
          <w:p>
            <w:pPr>
              <w:pStyle w:val="TableText"/>
            </w:pPr>
            <w:r>
              <w:t>Campos correctos / campos etiquetados; mostrar tipo y corpus.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TableText"/>
            </w:pPr>
            <w:r>
              <w:t>SLA de tareas</w:t>
            </w:r>
          </w:p>
        </w:tc>
        <w:tc>
          <w:tcPr>
            <w:tcW w:type="dxa" w:w="6760"/>
            <w:vAlign w:val="top"/>
          </w:tcPr>
          <w:p>
            <w:pPr>
              <w:pStyle w:val="TableText"/>
            </w:pPr>
            <w:r>
              <w:t>Tareas concluidas en plazo / tareas elegibles; definir canceladas y pausas.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TableText"/>
            </w:pPr>
            <w:r>
              <w:t>Ciclo de proceso</w:t>
            </w:r>
          </w:p>
        </w:tc>
        <w:tc>
          <w:tcPr>
            <w:tcW w:type="dxa" w:w="6760"/>
            <w:vAlign w:val="top"/>
          </w:tcPr>
          <w:p>
            <w:pPr>
              <w:pStyle w:val="TableText"/>
            </w:pPr>
            <w:r>
              <w:t>Fin menos inicio según calendario; percentiles con población.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TableText"/>
            </w:pPr>
            <w:r>
              <w:t>Duplicados / pérdidas</w:t>
            </w:r>
          </w:p>
        </w:tc>
        <w:tc>
          <w:tcPr>
            <w:tcW w:type="dxa" w:w="6760"/>
            <w:vAlign w:val="top"/>
          </w:tcPr>
          <w:p>
            <w:pPr>
              <w:pStyle w:val="TableText"/>
            </w:pPr>
            <w:r>
              <w:t>Reconciliar solicitudes aceptadas y efectos; objetivo cero en fixtures de integridad.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TableText"/>
            </w:pPr>
            <w:r>
              <w:t>Costo por proceso</w:t>
            </w:r>
          </w:p>
        </w:tc>
        <w:tc>
          <w:tcPr>
            <w:tcW w:type="dxa" w:w="6760"/>
            <w:vAlign w:val="top"/>
          </w:tcPr>
          <w:p>
            <w:pPr>
              <w:pStyle w:val="TableText"/>
            </w:pPr>
            <w:r>
              <w:t>Costo imputado / procesos elegibles; distinguir vacío de cero.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TableText"/>
            </w:pPr>
            <w:r>
              <w:t>Disponibilidad / RPO / RTO</w:t>
            </w:r>
          </w:p>
        </w:tc>
        <w:tc>
          <w:tcPr>
            <w:tcW w:type="dxa" w:w="6760"/>
            <w:vAlign w:val="top"/>
          </w:tcPr>
          <w:p>
            <w:pPr>
              <w:pStyle w:val="TableText"/>
            </w:pPr>
            <w:r>
              <w:t>Objetivos acordados, medición y ejercicio; no cifras comerciales sin evidencia.</w:t>
            </w:r>
          </w:p>
        </w:tc>
      </w:tr>
    </w:tbl>
    <w:p>
      <w:pPr>
        <w:pStyle w:val="Small"/>
      </w:pPr>
    </w:p>
    <w:p>
      <w:bookmarkStart w:id="11" w:name="s11"/>
      <w:pPr>
        <w:pStyle w:val="Heading1"/>
      </w:pPr>
      <w:r>
        <w:t>10. Gobierno documental</w:t>
      </w:r>
      <w:bookmarkEnd w:id="11"/>
    </w:p>
    <w:p>
      <w:r>
        <w:t>Precedencia: N0 gobierna alcance integral; N1 cada MVP; N2 el componente; N3 sus reglas y aceptación. Los anexos aportan detalle transversal sin adelantar capacidades. Cada cambio de regla actualiza historia, CP y QA; cada cambio de alcance vuelve al N1.</w:t>
      </w:r>
    </w:p>
    <w:p>
      <w:r>
        <w:t>Los documentos se organizan por códigos y enlaces reales al importarse a Confluence. El N0 es hub; páginas hijas y enlaces bidireccionales conectan niveles. Etiquetas: nextdoc, v11, mvp0–mvp4, n0–n3, módulo, qa-automation, ux y devin.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N0-V11-SISTEMA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N0-V11-SISTEMA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