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N1-MVP0-V11-PRD</w:t>
      </w:r>
    </w:p>
    <w:p>
      <w:pPr>
        <w:pStyle w:val="Title"/>
      </w:pPr>
      <w:r>
        <w:t>MVP0 · Comercial</w:t>
      </w:r>
    </w:p>
    <w:p>
      <w:pPr>
        <w:pStyle w:val="Subtitle"/>
      </w:pPr>
      <w:r>
        <w:t>PRD completo · Alcance, módulos, valor y aceptación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PRD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Abstract funcional</w:t>
        </w:r>
      </w:hyperlink>
    </w:p>
    <w:p>
      <w:pPr>
        <w:pStyle w:val="Small"/>
      </w:pPr>
      <w:hyperlink w:anchor="s4">
        <w:r>
          <w:rPr>
            <w:color w:val="6639B7"/>
          </w:rPr>
          <w:t>3. Contexto y oportunidad</w:t>
        </w:r>
      </w:hyperlink>
    </w:p>
    <w:p>
      <w:pPr>
        <w:pStyle w:val="Small"/>
      </w:pPr>
      <w:hyperlink w:anchor="s5">
        <w:r>
          <w:rPr>
            <w:color w:val="6639B7"/>
          </w:rPr>
          <w:t>4. Casos generales de negocio</w:t>
        </w:r>
      </w:hyperlink>
    </w:p>
    <w:p>
      <w:pPr>
        <w:pStyle w:val="Small"/>
      </w:pPr>
      <w:hyperlink w:anchor="s6">
        <w:r>
          <w:rPr>
            <w:color w:val="6639B7"/>
          </w:rPr>
          <w:t>5. Casos específicos del MVP</w:t>
        </w:r>
      </w:hyperlink>
    </w:p>
    <w:p>
      <w:pPr>
        <w:pStyle w:val="Small"/>
      </w:pPr>
      <w:hyperlink w:anchor="s7">
        <w:r>
          <w:rPr>
            <w:color w:val="6639B7"/>
          </w:rPr>
          <w:t>6. Alcance incluido y excluido</w:t>
        </w:r>
      </w:hyperlink>
    </w:p>
    <w:p>
      <w:pPr>
        <w:pStyle w:val="Small"/>
      </w:pPr>
      <w:hyperlink w:anchor="s8">
        <w:r>
          <w:rPr>
            <w:color w:val="6639B7"/>
          </w:rPr>
          <w:t>7. Componentes N2 y detalle N3</w:t>
        </w:r>
      </w:hyperlink>
    </w:p>
    <w:p>
      <w:pPr>
        <w:pStyle w:val="Small"/>
      </w:pPr>
      <w:hyperlink w:anchor="s9">
        <w:r>
          <w:rPr>
            <w:color w:val="6639B7"/>
          </w:rPr>
          <w:t>8. Dependencias y secuencia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Planificación Jira y cierre</w:t>
        </w:r>
      </w:hyperlink>
    </w:p>
    <w:p>
      <w:bookmarkStart w:id="1" w:name="s1"/>
      <w:pPr>
        <w:pStyle w:val="Heading1"/>
      </w:pPr>
      <w:r>
        <w:t>0. Ficha PRD</w:t>
      </w:r>
      <w:bookmarkEnd w:id="1"/>
    </w:p>
    <w:p>
      <w:r>
        <w:t>Epic documental: MVP0; producto NEXT DOC AI. Estado: alcance funcional definido, ejecución pendiente de contraste con repositorio y aprobación de políticas de cliente. Responsable: PO; CTO coordina implementación.</w:t>
      </w:r>
    </w:p>
    <w:p>
      <w:r>
        <w:t>Relación: N0-V11-SISTEMA → este N1 → N2/N3 por módulo. No hay tickets Jira creados por este paquete.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El objetivo de esta etapa es Certificar el recorrido documental existente y proteger clasificación, captura genérica, extracción, revisión y aprendizaje controlado. No sustituir el motor ya construido.; Mantener el aislamiento y SSO existentes; habilitar participación externa limitada y permisos de partner sin compartir usuarios ni bases con sistemas host.; Ejecutar procesos documentales versionados sobre IA Docs sin rehacer el motor de extracción. El circuito de aprobación y tareas no está implementado en la línea de partida.; Permitir crear, duplicar, adaptar, probar y publicar procesos desde una interfaz guiada; el futuro Canvas usa la misma definición.; Supervisar completitud, confianza, consistencia y SLA con políticas aprobadas; registrar hallazgos y bloqueos explicables sin modificar reglas autónomamente.; Convertir biblioteca COMEX en procesos probados y enlazarlos a referencias canónicas de Follow sin copiar maestros ni asumir APIs no confirmadas.; Preservar retención, legal hold, export, auditoría y presupuesto ya reportados; extenderlos a instancias y tareas sin degradar documentos existentes.; Cerrar la demo del core existente y posteriormente el release comercial ampliado con evidencia distinta, preservando las pruebas reportadas y las dependencias reales de integración.</w:t>
      </w:r>
    </w:p>
    <w:p>
      <w:r>
        <w:t>Línea de partida al 05/09/2026: IA Docs está construido según estado reportado, con 247 pruebas (73 unitarias y 174 de integración), 13 controladores, 40 entidades y 20 migraciones. No se ejecutaron esas pruebas ni se inspeccionó el repositorio al preparar esta documentación. Certificación visual, corpus real, rotación de secreto y carga siguen pendientes de evidencia.</w:t>
      </w:r>
    </w:p>
    <w:p>
      <w:bookmarkStart w:id="3" w:name="s3"/>
      <w:pPr>
        <w:pStyle w:val="Heading1"/>
      </w:pPr>
      <w:r>
        <w:t>2. Abstract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Secuencia de producto y dos hitos de MVP0. Las dependencias técnicas puntuales pueden trabajarse en paralelo con contratos mínimos.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4" w:name="s4"/>
      <w:pPr>
        <w:pStyle w:val="Heading1"/>
      </w:pPr>
      <w:r>
        <w:t>3. Contexto y oportunidad</w:t>
      </w:r>
      <w:bookmarkEnd w:id="4"/>
    </w:p>
    <w:p>
      <w:r>
        <w:t>El core documental ya permite capturar y revisar. La oportunidad comercial ampliada agrega coordinación de documentos, personas y decisiones; su desarrollo debe preservarlo y diferenciar demo de procesos.</w:t>
      </w:r>
    </w:p>
    <w:p>
      <w:bookmarkStart w:id="5" w:name="s5"/>
      <w:pPr>
        <w:pStyle w:val="Heading1"/>
      </w:pPr>
      <w:r>
        <w:t>4. Casos generales de negocio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700"/>
        <w:gridCol w:w="2500"/>
        <w:gridCol w:w="5160"/>
      </w:tblGrid>
      <w:tr>
        <w:trPr>
          <w:cantSplit/>
          <w:tblHeader/>
        </w:trPr>
        <w:tc>
          <w:tcPr>
            <w:tcW w:type="dxa" w:w="1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5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Operator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IA Docs: ingesta, extracción y revisión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Certificar el recorrido documental existente y proteger clasificación, captura genérica, extracción, revisión y aprendizaje controlado. No sustituir el motor ya construido.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Tenant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Identidad, tenancy y colaboración externa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Mantener el aislamiento y SSO existentes; habilitar participación externa limitada y permisos de partner sin compartir usuarios ni bases con sistemas host.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Process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Workflow Core y tareas documentales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Ejecutar procesos documentales versionados sobre IA Docs sin rehacer el motor de extracción. El circuito de aprobación y tareas no está implementado en la línea de partida.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Process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Template Registry y Studio guiado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Permitir crear, duplicar, adaptar, probar y publicar procesos desde una interfaz guiada; el futuro Canvas usa la misma definición.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Process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Supervisor de procesos v0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Supervisar completitud, confianza, consistencia y SLA con políticas aprobadas; registrar hallazgos y bloqueos explicables sin modificar reglas autónomamente.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Integrador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COMEX, overlays y conector Follow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Convertir biblioteca COMEX en procesos probados y enlazarlos a referencias canónicas de Follow sin copiar maestros ni asumir APIs no confirmadas.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Tenant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DMS, auditoría, KPI y control de costo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Preservar retención, legal hold, export, auditoría y presupuesto ya reportados; extenderlos a instancias y tareas sin degradar documentos existentes.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QA Automation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Certificación, regresión y release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Cerrar la demo del core existente y posteriormente el release comercial ampliado con evidencia distinta, preservando las pruebas reportadas y las dependencias reales de integración.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Casos específicos del MVP</w:t>
      </w:r>
      <w:bookmarkEnd w:id="6"/>
    </w:p>
    <w:p>
      <w:pPr>
        <w:pStyle w:val="Heading2"/>
      </w:pPr>
      <w:r>
        <w:t>DOC · IA Docs: ingesta, extracción y revisión</w:t>
      </w:r>
    </w:p>
    <w:p>
      <w:r>
        <w:t>Certificar el recorrido documental existente y proteger clasificación, captura genérica, extracción, revisión y aprendizaje controlado. No sustituir el motor ya construido.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PDF limpio, tamaño menor al límite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RECIBIDO; original y hash persistidos; una tarea de extracción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Tenant A, clave K y PDF P aceptados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Mismo document_ref; contador de ingestas permanece en uno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Factura reconocible del catálogo activo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TIPADO como factura; tipo y confianza visibles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Proveedor principal devuelve campos válidos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EXTRAIDO con Gemini, prompt/modelo y evidencia registrados</w:t>
            </w:r>
          </w:p>
        </w:tc>
      </w:tr>
    </w:tbl>
    <w:p>
      <w:pPr>
        <w:pStyle w:val="Small"/>
      </w:pPr>
    </w:p>
    <w:p>
      <w:pPr>
        <w:pStyle w:val="Heading2"/>
      </w:pPr>
      <w:r>
        <w:t>IAM · Identidad, tenancy y colaboración externa</w:t>
      </w:r>
    </w:p>
    <w:p>
      <w:r>
        <w:t>Mantener el aislamiento y SSO existentes; habilitar participación externa limitada y permisos de partner sin compartir usuarios ni bases con sistemas host.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Principal de A y documento de 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AUTORIZADO; contenido de A visible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Assertion de emisor permitido con usuario habilitado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SESION_NEXT creada con tenant permitido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Grant vigente para editar plantillas en 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AUTORIZADO sólo para recursos del grant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Token vigente de tarea T para aportar archivo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TAREA_ACTUALIZADA; principal externo y origen registrados</w:t>
            </w:r>
          </w:p>
        </w:tc>
      </w:tr>
    </w:tbl>
    <w:p>
      <w:pPr>
        <w:pStyle w:val="Small"/>
      </w:pPr>
    </w:p>
    <w:p>
      <w:pPr>
        <w:pStyle w:val="Heading2"/>
      </w:pPr>
      <w:r>
        <w:t>WFL · Workflow Core y tareas documentales</w:t>
      </w:r>
    </w:p>
    <w:p>
      <w:r>
        <w:t>Ejecutar procesos documentales versionados sobre IA Docs sin rehacer el motor de extracción. El circuito de aprobación y tareas no está implementado en la línea de partida.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Plantilla publicada v1 y contexto completo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ACTIVA con template_version v1 fijada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Definición con inicio, documento, tarea y fin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DEFINICION_VALIDA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Evento nuevo habilita tarea humana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Una tarea ABIERTA con activación referenciada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Fact peso 100 y condición peso menor a 200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Ruta liviana activada y evidencia del valor</w:t>
            </w:r>
          </w:p>
        </w:tc>
      </w:tr>
    </w:tbl>
    <w:p>
      <w:pPr>
        <w:pStyle w:val="Small"/>
      </w:pPr>
    </w:p>
    <w:p>
      <w:pPr>
        <w:pStyle w:val="Heading2"/>
      </w:pPr>
      <w:r>
        <w:t>STU · Template Registry y Studio guiado</w:t>
      </w:r>
    </w:p>
    <w:p>
      <w:r>
        <w:t>Permitir crear, duplicar, adaptar, probar y publicar procesos desde una interfaz guiada; el futuro Canvas usa la misma definición.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Process Admin crea plantilla vacía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BORRADOR con owner y tenant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Definición con documento, rol y decisión válidos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Mismos nodos y parámetros recuperados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Inicio, requisito y fin conectados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VALIDADO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Base exportación y overlay reefer compatible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BORRADOR compuesto con requisito de temperatura</w:t>
            </w:r>
          </w:p>
        </w:tc>
      </w:tr>
    </w:tbl>
    <w:p>
      <w:pPr>
        <w:pStyle w:val="Small"/>
      </w:pPr>
    </w:p>
    <w:p>
      <w:pPr>
        <w:pStyle w:val="Heading2"/>
      </w:pPr>
      <w:r>
        <w:t>SUP · Supervisor de procesos v0</w:t>
      </w:r>
    </w:p>
    <w:p>
      <w:r>
        <w:t>Supervisar completitud, confianza, consistencia y SLA con políticas aprobadas; registrar hallazgos y bloqueos explicables sin modificar reglas autónomamente.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Policy publicada de documento obligatorio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HALLAZGO_ABIERTO por completitud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Campo crítico 0,89 con umbral fixture 0,90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REVISION del campo y bloqueo sensible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Factura 100 USD y packing equivalente 100 USD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CONSISTENTE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Hallazgo warning de metadata no crítica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CONTINUA con advertencia visible</w:t>
            </w:r>
          </w:p>
        </w:tc>
      </w:tr>
    </w:tbl>
    <w:p>
      <w:pPr>
        <w:pStyle w:val="Small"/>
      </w:pPr>
    </w:p>
    <w:p>
      <w:pPr>
        <w:pStyle w:val="Heading2"/>
      </w:pPr>
      <w:r>
        <w:t>COM · COMEX, overlays y conector Follow</w:t>
      </w:r>
    </w:p>
    <w:p>
      <w:r>
        <w:t>Convertir biblioteca COMEX en procesos probados y enlazarlos a referencias canónicas de Follow sin copiar maestros ni asumir APIs no confirmadas.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source Follow, tenant A y subject_ref C100 válidos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CONTEXTO_VALIDO enlazado a C100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Exportación terrestre con base activa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Base terrestre exportación seleccionada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Carga reefer con temperatura requerida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Overlay reefer y requisito de temperatura añadidos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Road más Sea exportación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Dos tramos y handoff identificados</w:t>
            </w:r>
          </w:p>
        </w:tc>
      </w:tr>
    </w:tbl>
    <w:p>
      <w:pPr>
        <w:pStyle w:val="Small"/>
      </w:pPr>
    </w:p>
    <w:p>
      <w:pPr>
        <w:pStyle w:val="Heading2"/>
      </w:pPr>
      <w:r>
        <w:t>GOV · DMS, auditoría, KPI y control de costo</w:t>
      </w:r>
    </w:p>
    <w:p>
      <w:r>
        <w:t>Preservar retención, legal hold, export, auditoría y presupuesto ya reportados; extenderlos a instancias y tareas sin degradar documentos existentes.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Documento original P y nueva versión Q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Dos objetos; Q referencia P como superseded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Objeto con plazo vencido sin hold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PURGADO según política y audit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Expediente con tres archivos autorizados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ZIP con tres archivos, índice y hashes verificables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Reviewer corrige con motivo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Before/after, actor y versión disponibles</w:t>
            </w:r>
          </w:p>
        </w:tc>
      </w:tr>
    </w:tbl>
    <w:p>
      <w:pPr>
        <w:pStyle w:val="Small"/>
      </w:pPr>
    </w:p>
    <w:p>
      <w:pPr>
        <w:pStyle w:val="Heading2"/>
      </w:pPr>
      <w:r>
        <w:t>REL · Certificación, regresión y release</w:t>
      </w:r>
    </w:p>
    <w:p>
      <w:r>
        <w:t>Cerrar la demo del core existente y posteriormente el release comercial ampliado con evidencia distinta, preservando las pruebas reportadas y las dependencias reales de integración.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Cuatro servicios disponibles y flag true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Run con conteos ejecutados y cero omisiones críticas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Inventario reportado conciliado con suite actual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Reporte de casos existentes y nuevos con estado por ID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Factura de fixture validada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E2E_COMPLETO con capturas y document_ref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Diez documentos reales autorizados variados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Informe por archivo con aciertos, revisión y errores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Alcance incluido y excluido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50"/>
        <w:gridCol w:w="2800"/>
        <w:gridCol w:w="5810"/>
      </w:tblGrid>
      <w:tr>
        <w:trPr>
          <w:cantSplit/>
          <w:tblHeader/>
        </w:trPr>
        <w:tc>
          <w:tcPr>
            <w:tcW w:type="dxa" w:w="7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de partida</w:t>
            </w:r>
          </w:p>
        </w:tc>
        <w:tc>
          <w:tcPr>
            <w:tcW w:type="dxa" w:w="58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Incluido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DOC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CONSERVAR + CERTIFICAR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Ingesta segura; Idempotencia documental; Clasificación y captura genérica; Extracción multiproveedor; Umbrales y reglas; Corrección concurrente; Aprendizaje y tipos nuevos; Certificación del recorrido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IAM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CONSERVAR IAM/SSO; CONSTRUIR delegación y tareas externas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Aislamiento efectivo; SSO y contexto host; Delegación explícita; Acción externa de propósito único; Revocación y consumo atómico; Mínimo privilegio visible; Invitación y reemisión; Sesión y seguridad de navegador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WFL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Inicio versionado; Catálogo de nodos acotado; Activaciones idempotentes; Dependencias y decisiones; Asignación y resultado de tarea; SLA y suspensión; Finales consistentes; Recuperación y evolución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STU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Autoría y pertenencia; Schema funcional estable; Validación de grafo; Overlays compatibles; Pruebas antes de publicar; Publicación y versionado; Retiro y compatibilidad; UX guiada reproducible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SUP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sobre facts y excepciones existentes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Políticas publicadas; Confianza por campo; Consistencia entre documentos; Severidad y acciones; SLA y escalación; Resolución y dispensa; Reevaluación idempotente; Explicación y límites IA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COM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plantillas ejecutables; CONSERVAR transportes SSO/webhook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Contexto canónico; Biblioteca de catorce bases; Overlays por atributos; Composición multimodal; Correspondencia SRP126 y SRP127; Duplicados y reconciliación; Resultado explicable; Entregas a Follow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GOV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CONSERVAR + AJUSTAR integración de procesos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Original y versionado; Retención y legal hold; Exportación reproducible; Auditoría útil; KPI con población auditable; Tiempo y corrección retrospectiva; Presupuesto y consumo; Búsqueda y perfiles de columnas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REL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CERTIFICAR; CONSTRUIR QA UI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Infraestructura obligatoria; Regresión del core; Recorrido humano; Corpus real; Secretos y acceso; Carga y resiliencia; Dos hitos distintos; Despliegue y rollback</w:t>
            </w:r>
          </w:p>
        </w:tc>
      </w:tr>
    </w:tbl>
    <w:p>
      <w:pPr>
        <w:pStyle w:val="Small"/>
      </w:pPr>
    </w:p>
    <w:p>
      <w:r>
        <w:t>Exclusiones: Canvas avanzado, canales email/WhatsApp, firma, cobro Marketplace, Sentinel avanzado, Copilot y topologías enterprise no son entregas del módulo en MVP0. G-DEMO no requiere construir procesos nuevos.</w:t>
      </w:r>
    </w:p>
    <w:p>
      <w:r>
        <w:t>Las decisiones por cliente que no pueden inferirse son umbrales de calidad, límites de archivo, SLA de capacidad, método de firma y perfil enterprise. Están identificadas como decisiones previas al piloto, con fixtures concretos para que desarrollo y QA puedan trabajar sin fabricar un valor productivo.</w:t>
      </w:r>
    </w:p>
    <w:p>
      <w:bookmarkStart w:id="8" w:name="s8"/>
      <w:pPr>
        <w:pStyle w:val="Heading1"/>
      </w:pPr>
      <w:r>
        <w:t>7. Componentes N2 y detalle N3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00"/>
        <w:gridCol w:w="4180"/>
        <w:gridCol w:w="4180"/>
      </w:tblGrid>
      <w:tr>
        <w:trPr>
          <w:cantSplit/>
          <w:tblHeader/>
        </w:trPr>
        <w:tc>
          <w:tcPr>
            <w:tcW w:type="dxa" w:w="1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N2 entregado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N3 entregado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DOC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N2-MVP0-V11-DOC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N3-MVP0-V11-DOC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IAM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N2-MVP0-V11-IAM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N3-MVP0-V11-IAM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WFL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N2-MVP0-V11-WFL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N3-MVP0-V11-WFL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STU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N2-MVP0-V11-STU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N3-MVP0-V11-STU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SUP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N2-MVP0-V11-SUP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N3-MVP0-V11-SUP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COM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N2-MVP0-V11-COM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N3-MVP0-V11-COM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GOV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N2-MVP0-V11-GOV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N3-MVP0-V11-GOV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REL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N2-MVP0-V11-REL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N3-MVP0-V11-REL</w:t>
            </w:r>
          </w:p>
        </w:tc>
      </w:tr>
    </w:tbl>
    <w:p>
      <w:pPr>
        <w:pStyle w:val="Small"/>
      </w:pPr>
    </w:p>
    <w:p>
      <w:r>
        <w:t>Cada N3 incluye ocho reglas específicas, ocho historias y 32 escenarios con entrada, acción, resultado y vínculo QA. Las subtareas Jira enlazan directamente a esas secciones.</w:t>
      </w:r>
    </w:p>
    <w:p>
      <w:bookmarkStart w:id="9" w:name="s9"/>
      <w:pPr>
        <w:pStyle w:val="Heading1"/>
      </w:pPr>
      <w:r>
        <w:t>8. Dependencias y secuencia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200"/>
        <w:gridCol w:w="2500"/>
        <w:gridCol w:w="2660"/>
      </w:tblGrid>
      <w:tr>
        <w:trPr>
          <w:cantSplit/>
          <w:tblHeader/>
        </w:trPr>
        <w:tc>
          <w:tcPr>
            <w:tcW w:type="dxa" w:w="4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26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gate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E00 Baseline y gobierno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—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REL / 0A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E01 Certificación IA Docs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E00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DOC,REL / G-DEMO / 0G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E02 Schema de proceso/template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E00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STU / 0B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E03 Dominio Workflow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E02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WFL / 0B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E04 Runtime Workflow Core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WFL / 0C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E05 Studio guiado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E02,E04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STU / 0D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E06 Actores internos y externos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IAM / 0D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E07 Partner Foundation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E02,E03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IAM,STU / 0B/0D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E08 Supervisor v0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E04,DOC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SUP / 0E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E09 COMEX: catorce bases y overlays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E02,E04,E08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COM / 0F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E10 Contexto y conector Follow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E09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COM / 0F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E11 KPI operativo de procesos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E04,E08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GOV / 0H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E12 Seguridad y aislamiento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E03,E06,E07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IAM,REL / 0G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E13 Rendimiento y resiliencia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E04,E08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REL / 0G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E14 Release comercial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E01–E13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REL / 0H</w:t>
            </w:r>
          </w:p>
        </w:tc>
      </w:tr>
    </w:tbl>
    <w:p>
      <w:pPr>
        <w:pStyle w:val="Small"/>
      </w:pPr>
    </w:p>
    <w:p>
      <w:r>
        <w:t>Los enlaces entre DOC, IAM y GOV expresan contratos existentes, no ciclos de desarrollo que deban rehacerse. En módulos nuevos fijar primero interfaces funcionales y fixtures; después implementar consumidores e integrar. El backlog maestro explicita la secuencia de construcción.</w:t>
      </w:r>
    </w:p>
    <w:p>
      <w:bookmarkStart w:id="10" w:name="s10"/>
      <w:pPr>
        <w:pStyle w:val="Heading1"/>
      </w:pPr>
      <w:r>
        <w:t>9. Métricas y criterios de éxito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de salida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G-DEMO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Recorrido humano completo; visor tipado/genérico; 10–15 documentos reales autorizados; clave Gemini rotada y anterior revocada; defectos bloqueantes resueltos.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0A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Distinguir existente, retirado y nuevo; backlog y dueños definidos.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0B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Schema, persistencia, ownership y grants diseñados/probados; usar contratos mínimos para evitar ciclos de construcción.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0C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Casos de instancia, tarea, cancelación, SLA y replay aprobados.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0D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Publicación desde UI y acción externa limitada probadas.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0E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Bloqueos/advertencias explicables y resolución idempotente.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0F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Catorce bases registradas y probadas; overlays; mapping y readiness con receptor de prueba.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0G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Regresión, UI/E2E, aislamiento, secretos, corpus, carga acordada y observabilidad.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0H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0A–0G con evidencia; tenant demo de procesos, runbook, soporte y rollback; acta de salida.</w:t>
            </w:r>
          </w:p>
        </w:tc>
      </w:tr>
    </w:tbl>
    <w:p>
      <w:pPr>
        <w:pStyle w:val="Small"/>
      </w:pPr>
    </w:p>
    <w:p>
      <w:r>
        <w:t>Métricas mínimas: tasa de casos críticos aprobados, errores bloqueantes, duplicados/pérdidas y cobertura de roles. Calidad IA usa corpus etiquetado por tipo/campo; rendimiento usa perfil y objetivo aprobados. No confundir 100% de ejecución de pruebas con exactitud del modelo.</w:t>
      </w:r>
    </w:p>
    <w:p>
      <w:bookmarkStart w:id="11" w:name="s11"/>
      <w:pPr>
        <w:pStyle w:val="Heading1"/>
      </w:pPr>
      <w:r>
        <w:t>10. Planificación Jira y cierre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800"/>
        <w:gridCol w:w="6300"/>
        <w:gridCol w:w="2260"/>
      </w:tblGrid>
      <w:tr>
        <w:trPr>
          <w:cantSplit/>
          <w:tblHeader/>
        </w:trPr>
        <w:tc>
          <w:tcPr>
            <w:tcW w:type="dxa" w:w="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comprometido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 de coordinación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E00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Alcance, estados reportados y responsables conciliados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E01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Navegador, captura genérica, corpus y seguridad con evidencia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E02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Definición versionada y validación de grafo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E03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Entidades y persistencia con concurrencia e historia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E04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Instancias, tareas, condiciones, SLA y replay probado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E05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Crear/fork/adaptar/probar/publicar desde interfaz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E06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Acciones externas con scope, TTL y revocación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E07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Grants, ownership y provenance sin privilegios implícitos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E08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Completitud, confianza, consistencia y SLA con políticas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E09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Registro, composición y fixtures de cada base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E10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Mapping y readiness idempotentes con contrato probado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E11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Población, fórmulas y drill-down auditables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E12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Core preservado y nuevas rutas autorizadas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E13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Carga medida, cero pérdida/duplicación y observabilidad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E14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Demo de proceso, rollback, soporte y aprobación de salida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</w:tbl>
    <w:p>
      <w:pPr>
        <w:pStyle w:val="Small"/>
      </w:pPr>
    </w:p>
    <w:p>
      <w:r>
        <w:t>Orden de trabajo: validar estado real y contracts → preparar fixtures/UX → desarrollar historia y tests → integrar con dependencias → ejecutar E2E/regresión → aprobar gate con evidencia.</w:t>
      </w:r>
    </w:p>
    <w:p>
      <w:pPr>
        <w:pStyle w:val="ListBullet"/>
      </w:pPr>
      <w:r>
        <w:t>No cerrar historia con requisitos genéricos sin verificar CP/QA.</w:t>
      </w:r>
    </w:p>
    <w:p>
      <w:pPr>
        <w:pStyle w:val="ListBullet"/>
      </w:pPr>
      <w:r>
        <w:t>No renumerar IDs al importar Jira; preservar E/HU/RE/CP/QA como claves de trazabilidad.</w:t>
      </w:r>
    </w:p>
    <w:p>
      <w:pPr>
        <w:pStyle w:val="ListBullet"/>
      </w:pPr>
      <w:r>
        <w:t>Actualizar N3 cuando el build obliga a cambiar comportamiento; escalar a N1 si afecta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N1-MVP0-V11-PRD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N1-MVP0-V11-PRD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