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N2-MVP0-V11-COM</w:t>
      </w:r>
    </w:p>
    <w:p>
      <w:pPr>
        <w:pStyle w:val="Title"/>
      </w:pPr>
      <w:r>
        <w:t>COMEX, overlays y conector Follow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 plantillas ejecutables; CONSERVAR transportes SSO/webhook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Integrador, Operador COMEX, Process Admin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Convertir biblioteca COMEX en procesos probados y enlazarlos a referencias canónicas de Follow sin copiar maestros ni asumir APIs no confirmadas.</w:t>
      </w:r>
    </w:p>
    <w:p>
      <w:r>
        <w:t>IDs canónicos y contrato físico deben confirmarse en integración; no inventar tablas Follow.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COM.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contexto follow. Aporta notificar a follow,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source Follow, tenant A y subject_ref C100 válidos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CONTEXTO_VALIDO enlazado a C100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Exportación terrestre con base activa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Base terrestre exportación seleccionada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Carga reefer con temperatura requerida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Overlay reefer y requisito de temperatura añadidos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Road más Sea exportación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Dos tramos y handoff identificados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Follow solicita catálogo autorizado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Sólo bases/overlays disponibles para tenant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Solicitud duplicada de C100 con misma clave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Misma instancia; cero duplicados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Todos requisitos obligatorios completos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LISTO_DOCUMENTAL con versión de reglas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Readiness calculado y receptor devuelve ACK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ENTREGADO; evento conserva resultado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COM;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COM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Contexto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source, tenant, subject_ref, modalidad, dirección y referencias canónicas; integrador.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Pack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Catorce bases de proceso, overlays y subprocesos; dueño de producto COMEX.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Mapping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Identificador externo a concepto funcional; versión y vigencia.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Readiness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Estado documental y motivos por instancia; no equivale a autorización logística total.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RE-COM-01 Contexto canónico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Exigir source, tenant y subject_ref inequívocos; los códigos externos conservan significado de Follow. No usar nombre libre de carga como identificador.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RE-COM-02 Biblioteca de catorce bases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Mantener un registro de las catorce bases del pack con dirección, modo, documentos y pruebas. No multiplicar bases por cada atributo de carga.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RE-COM-03 Overlays por atributos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Reefer, peligrosa y demás atributos agregan obligaciones compatibles sobre base. La recomendación muestra por qué cada overlay fue elegido.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RE-COM-04 Composición multimodal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Cada tramo conserva documentos, actores y transferencia de responsabilidad. El cierre de un tramo no cierra los pendientes del siguiente.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RE-COM-05 Correspondencia SRP126 y SRP127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SRP126 refiere selección/configuración de plantillas; SRP127 refiere verificaciones. NEXT mantiene definición, evidencia y resultado documental; Follow conserva operación logística.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RE-COM-06 Duplicados y reconciliación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misma intención externa produce una instancia. Eventos fuera de orden no revierten una revisión más nueva; reconciliar por versión y referencia, no por hora de llegada.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RE-COM-07 Resultado explicable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Readiness expresa obligaciones cumplidas y faltantes por documento/tramo. Una dispensa se devuelve explícitamente, no como documento válido inexistente.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RE-COM-08 Entregas a Follow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Usar entrega firmada y reintentos existentes; el estado de entrega se separa del resultado documental. La caída del receptor no revierte la validación.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selector de plantilla recomendada y ficha de readiness; navegar al proceso desde Follow vía permiso existente.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DOC, STU, WFL, SUP, IAM;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N3-MVP0-V11-COM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HU-COM-01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IDs canónicos y contrato físico deben confirmarse en integración; no inventar tablas Follow.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N2-MVP0-V11-COM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