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N2-MVP0-V11-SUP</w:t>
      </w:r>
    </w:p>
    <w:p>
      <w:pPr>
        <w:pStyle w:val="Title"/>
      </w:pPr>
      <w:r>
        <w:t>Supervisor de procesos v0</w:t>
      </w:r>
    </w:p>
    <w:p>
      <w:pPr>
        <w:pStyle w:val="Subtitle"/>
      </w:pPr>
      <w:r>
        <w:t>Componente funcional · Interconexiones y límites operativos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0. Ficha del componente</w:t>
        </w:r>
      </w:hyperlink>
    </w:p>
    <w:p>
      <w:pPr>
        <w:pStyle w:val="Small"/>
      </w:pPr>
      <w:hyperlink w:anchor="s2">
        <w:r>
          <w:rPr>
            <w:color w:val="6639B7"/>
          </w:rPr>
          <w:t>1. Resumen</w:t>
        </w:r>
      </w:hyperlink>
    </w:p>
    <w:p>
      <w:pPr>
        <w:pStyle w:val="Small"/>
      </w:pPr>
      <w:hyperlink w:anchor="s3">
        <w:r>
          <w:rPr>
            <w:color w:val="6639B7"/>
          </w:rPr>
          <w:t>2. Objetivo funcional</w:t>
        </w:r>
      </w:hyperlink>
    </w:p>
    <w:p>
      <w:pPr>
        <w:pStyle w:val="Small"/>
      </w:pPr>
      <w:hyperlink w:anchor="s4">
        <w:r>
          <w:rPr>
            <w:color w:val="6639B7"/>
          </w:rPr>
          <w:t>3. Casos generales</w:t>
        </w:r>
      </w:hyperlink>
    </w:p>
    <w:p>
      <w:pPr>
        <w:pStyle w:val="Small"/>
      </w:pPr>
      <w:hyperlink w:anchor="s5">
        <w:r>
          <w:rPr>
            <w:color w:val="6639B7"/>
          </w:rPr>
          <w:t>4. Casos específicos</w:t>
        </w:r>
      </w:hyperlink>
    </w:p>
    <w:p>
      <w:pPr>
        <w:pStyle w:val="Small"/>
      </w:pPr>
      <w:hyperlink w:anchor="s6">
        <w:r>
          <w:rPr>
            <w:color w:val="6639B7"/>
          </w:rPr>
          <w:t>5. Flujo e interconexiones</w:t>
        </w:r>
      </w:hyperlink>
    </w:p>
    <w:p>
      <w:pPr>
        <w:pStyle w:val="Small"/>
      </w:pPr>
      <w:hyperlink w:anchor="s7">
        <w:r>
          <w:rPr>
            <w:color w:val="6639B7"/>
          </w:rPr>
          <w:t>6. Reglas principales</w:t>
        </w:r>
      </w:hyperlink>
    </w:p>
    <w:p>
      <w:pPr>
        <w:pStyle w:val="Small"/>
      </w:pPr>
      <w:hyperlink w:anchor="s8">
        <w:r>
          <w:rPr>
            <w:color w:val="6639B7"/>
          </w:rPr>
          <w:t>7. UX y herramientas</w:t>
        </w:r>
      </w:hyperlink>
    </w:p>
    <w:p>
      <w:pPr>
        <w:pStyle w:val="Small"/>
      </w:pPr>
      <w:hyperlink w:anchor="s9">
        <w:r>
          <w:rPr>
            <w:color w:val="6639B7"/>
          </w:rPr>
          <w:t>8. QA general</w:t>
        </w:r>
      </w:hyperlink>
    </w:p>
    <w:p>
      <w:pPr>
        <w:pStyle w:val="Small"/>
      </w:pPr>
      <w:hyperlink w:anchor="s10">
        <w:r>
          <w:rPr>
            <w:color w:val="6639B7"/>
          </w:rPr>
          <w:t>9. N3 y tareas derivadas</w:t>
        </w:r>
      </w:hyperlink>
    </w:p>
    <w:p>
      <w:pPr>
        <w:pStyle w:val="Small"/>
      </w:pPr>
      <w:hyperlink w:anchor="s11">
        <w:r>
          <w:rPr>
            <w:color w:val="6639B7"/>
          </w:rPr>
          <w:t>10. Riesgos y decisiones</w:t>
        </w:r>
      </w:hyperlink>
    </w:p>
    <w:p>
      <w:bookmarkStart w:id="1" w:name="s1"/>
      <w:pPr>
        <w:pStyle w:val="Heading1"/>
      </w:pPr>
      <w:r>
        <w:t>0. Ficha del componente</w:t>
      </w:r>
      <w:bookmarkEnd w:id="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CONSTRUIR sobre facts y excepciones existentes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MVP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0 · Comercial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Padre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N1-MVP0-V11-PRD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Responsable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Product Owner; implementación coordinada por CTO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Roles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Process Admin, Supervisor, Reviewer</w:t>
            </w:r>
          </w:p>
        </w:tc>
      </w:tr>
    </w:tbl>
    <w:p>
      <w:pPr>
        <w:pStyle w:val="Small"/>
      </w:pPr>
    </w:p>
    <w:p>
      <w:bookmarkStart w:id="2" w:name="s2"/>
      <w:pPr>
        <w:pStyle w:val="Heading1"/>
      </w:pPr>
      <w:r>
        <w:t>1. Resumen</w:t>
      </w:r>
      <w:bookmarkEnd w:id="2"/>
    </w:p>
    <w:p>
      <w:r>
        <w:t>Supervisar completitud, confianza, consistencia y SLA con políticas aprobadas; registrar hallazgos y bloqueos explicables sin modificar reglas autónomamente.</w:t>
      </w:r>
    </w:p>
    <w:p>
      <w:r>
        <w:t>Confundir confidence con verdad o dar capacidad autónoma para publicar reglas.</w:t>
      </w:r>
    </w:p>
    <w:p>
      <w:bookmarkStart w:id="3" w:name="s3"/>
      <w:pPr>
        <w:pStyle w:val="Heading1"/>
      </w:pPr>
      <w:r>
        <w:t>2. Objetivo funcional</w:t>
      </w:r>
      <w:bookmarkEnd w:id="3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93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_me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Mapa mental: responsabilidades del módulo SUP. Cada rama se desarrolla en una regla y cuatro casos de su N3.</w:t>
      </w:r>
    </w:p>
    <w:p>
      <w:bookmarkStart w:id="4" w:name="s4"/>
      <w:pPr>
        <w:pStyle w:val="Heading1"/>
      </w:pPr>
      <w:r>
        <w:t>3. Casos generales</w:t>
      </w:r>
      <w:bookmarkEnd w:id="4"/>
    </w:p>
    <w:p>
      <w:r>
        <w:t>El módulo interviene cuando cambio de facts. Aporta resolver y reevaluar, con identificación de recurso y evidencia. Si falta contexto o una dependencia falla, conserva el último resultado confirmado y aplica la ruta de revisión.</w:t>
      </w:r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bookmarkStart w:id="5" w:name="s5"/>
      <w:pPr>
        <w:pStyle w:val="Heading1"/>
      </w:pPr>
      <w:r>
        <w:t>4. Casos específicos</w:t>
      </w:r>
      <w:bookmarkEnd w:id="5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300"/>
        <w:gridCol w:w="5060"/>
      </w:tblGrid>
      <w:tr>
        <w:trPr>
          <w:cantSplit/>
          <w:tblHeader/>
        </w:trPr>
        <w:tc>
          <w:tcPr>
            <w:tcW w:type="dxa" w:w="4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Situación</w:t>
            </w:r>
          </w:p>
        </w:tc>
        <w:tc>
          <w:tcPr>
            <w:tcW w:type="dxa" w:w="5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 verificable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Policy publicada de documento obligatorio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HALLAZGO_ABIERTO por completitud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Campo crítico 0,89 con umbral fixture 0,90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REVISION del campo y bloqueo sensible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Factura 100 USD y packing equivalente 100 USD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CONSISTENTE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Hallazgo warning de metadata no crítica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CONTINUA con advertencia visible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Tarea supera due_at con policy de escalación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HALLAZGO_SLA y una asignación a supervisor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Documento faltante incorporado y validado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RESUELTO; enlace a documento que corrigió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Mismos facts y policy, mismo evento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Mismo finding_ref; sin duplicados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Hallazgo de peso contradictorio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Ver ambos documentos, valores normalizados y regla</w:t>
            </w:r>
          </w:p>
        </w:tc>
      </w:tr>
    </w:tbl>
    <w:p>
      <w:pPr>
        <w:pStyle w:val="Small"/>
      </w:pPr>
    </w:p>
    <w:p>
      <w:bookmarkStart w:id="6" w:name="s6"/>
      <w:pPr>
        <w:pStyle w:val="Heading1"/>
      </w:pPr>
      <w:r>
        <w:t>5. Flujo e interconexiones</w:t>
      </w:r>
      <w:bookmarkEnd w:id="6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funcional de SUP; casos de excepción y condiciones precisas en N3.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_r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Dependencias de contrato. Flechas hacia SUP indican capacidades que consume; no representan orden de despliegue ni llamadas físicas.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71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Información requerida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Policy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Versión, alcance, comparador, severidad, acción y owner aprobado.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Finding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Regla, instancia, documentos/campos afectados, evidencia y estado.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Evaluation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Snapshot de facts, versión de policy, disparador y resultado.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Resolution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Actor, decisión, motivo y relación a corrección o dispensa.</w:t>
            </w:r>
          </w:p>
        </w:tc>
      </w:tr>
    </w:tbl>
    <w:p>
      <w:pPr>
        <w:pStyle w:val="Small"/>
      </w:pPr>
    </w:p>
    <w:p>
      <w:bookmarkStart w:id="7" w:name="s7"/>
      <w:pPr>
        <w:pStyle w:val="Heading1"/>
      </w:pPr>
      <w:r>
        <w:t>6. Reglas principales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900"/>
        <w:gridCol w:w="6460"/>
      </w:tblGrid>
      <w:tr>
        <w:trPr>
          <w:cantSplit/>
          <w:tblHeader/>
        </w:trPr>
        <w:tc>
          <w:tcPr>
            <w:tcW w:type="dxa" w:w="2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RE-SUP-01 Políticas publicadas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Sólo evaluar políticas aprobadas y compatibles con la versión de proceso. Política inexistente no habilita acciones sensibles por defecto.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RE-SUP-02 Confianza por campo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Los campos críticos de baja confianza crean revisión, aunque la confianza promedio del documento sea alta. Umbrales de QA no sustituyen configuración cliente.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RE-SUP-03 Consistencia entre documentos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Comparar valores normalizados con unidades, moneda y tolerancia declaradas. Ausencia de dato genera faltante; no afirmar contradicción entre null y un valor.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RE-SUP-04 Severidad y acciones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Severidad warning no bloquea; blocking impide transición concreta. Una sugerencia IA no firma, envía ni cambia outcome sin política.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RE-SUP-05 SLA y escalación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Evaluar tiempo con calendario tenant y emitir una acción por vencimiento lógico. Repetir scheduler no multiplica hallazgos.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RE-SUP-06 Resolución y dispensa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Cerrar hallazgo exige corrección verificable o dispensa autorizada con motivo. Un ACK de lectura no resuelve un bloqueo.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RE-SUP-07 Reevaluación idempotente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Usar identidad estable de hallazgo por regla, sujeto y versión evaluada. Nuevas evidencias actualizan el caso; no producen ruido duplicado.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RE-SUP-08 Explicación y límites IA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Mostrar documentos, campos, valores comparados, regla y versión. Si falta evidencia, derivar; el supervisor v0 no se presenta como Sentinel avanzado.</w:t>
            </w:r>
          </w:p>
        </w:tc>
      </w:tr>
    </w:tbl>
    <w:p>
      <w:pPr>
        <w:pStyle w:val="Small"/>
      </w:pPr>
    </w:p>
    <w:p>
      <w:bookmarkStart w:id="8" w:name="s8"/>
      <w:pPr>
        <w:pStyle w:val="Heading1"/>
      </w:pPr>
      <w:r>
        <w:t>7. UX y herramientas</w:t>
      </w:r>
      <w:bookmarkEnd w:id="8"/>
    </w:p>
    <w:p>
      <w:r>
        <w:t>Nueva bandeja de salud del proceso; reutilizar patrones de excepciones documentales sin mezclar estados.</w:t>
      </w:r>
    </w:p>
    <w:p>
      <w:r>
        <w:t>El detalle de campos, mensajes, estados de interfaz, filtros y accesibilidad está en N3.16. No se requiere diseño de interfaz nueva para certificar una función existente que no cambia.</w:t>
      </w:r>
    </w:p>
    <w:p>
      <w:r>
        <w:t>Herramientas interconectadas: DOC, WFL, STU, GOV; referencia central N0-V11-INTERCONEXIONES.</w:t>
      </w:r>
    </w:p>
    <w:p>
      <w:bookmarkStart w:id="9" w:name="s9"/>
      <w:pPr>
        <w:pStyle w:val="Heading1"/>
      </w:pPr>
      <w:r>
        <w:t>8. QA general</w:t>
      </w:r>
      <w:bookmarkEnd w:id="9"/>
    </w:p>
    <w:p>
      <w:r>
        <w:t>Cubrir ruta válida, permiso denegado, dato faltante, versión, duplicado y fallo de dependencia mediante los 32 QA del N3. Preservar pruebas del core y ejecutar interfaces con infraestructura obligatoria; no aceptar skips como éxito. El gate exige resultados observados, no sólo test plan.</w:t>
      </w:r>
    </w:p>
    <w:p>
      <w:bookmarkStart w:id="10" w:name="s10"/>
      <w:pPr>
        <w:pStyle w:val="Heading1"/>
      </w:pPr>
      <w:r>
        <w:t>9. N3 y tareas derivadas</w:t>
      </w:r>
      <w:bookmarkEnd w:id="10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800"/>
        <w:gridCol w:w="5560"/>
      </w:tblGrid>
      <w:tr>
        <w:trPr>
          <w:cantSplit/>
          <w:tblHeader/>
        </w:trPr>
        <w:tc>
          <w:tcPr>
            <w:tcW w:type="dxa" w:w="3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55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Unidades desarrollables</w:t>
            </w:r>
          </w:p>
        </w:tc>
      </w:tr>
      <w:tr>
        <w:trPr>
          <w:cantSplit/>
        </w:trPr>
        <w:tc>
          <w:tcPr>
            <w:tcW w:type="dxa" w:w="3800"/>
            <w:vAlign w:val="top"/>
          </w:tcPr>
          <w:p>
            <w:pPr>
              <w:pStyle w:val="TableText"/>
            </w:pPr>
            <w:r>
              <w:t>N3-MVP0-V11-SUP</w:t>
            </w:r>
          </w:p>
        </w:tc>
        <w:tc>
          <w:tcPr>
            <w:tcW w:type="dxa" w:w="5560"/>
            <w:vAlign w:val="top"/>
          </w:tcPr>
          <w:p>
            <w:pPr>
              <w:pStyle w:val="TableText"/>
            </w:pPr>
            <w:r>
              <w:t>HU-SUP-01 a 08; 32 CP/QA completos. Cada historia enlaza su sección de regla y escenarios.</w:t>
            </w:r>
          </w:p>
        </w:tc>
      </w:tr>
    </w:tbl>
    <w:p>
      <w:pPr>
        <w:pStyle w:val="Small"/>
      </w:pPr>
    </w:p>
    <w:p>
      <w:r>
        <w:t>Los N3 completos están entregados por módulo. No se pospone el detalle a un listado de documentos futuros; si una historia se divide, conserva el vínculo a la sección funcional correspondiente.</w:t>
      </w:r>
    </w:p>
    <w:p>
      <w:bookmarkStart w:id="11" w:name="s11"/>
      <w:pPr>
        <w:pStyle w:val="Heading1"/>
      </w:pPr>
      <w:r>
        <w:t>10. Riesgos y decisiones</w:t>
      </w:r>
      <w:bookmarkEnd w:id="11"/>
    </w:p>
    <w:p>
      <w:r>
        <w:t>Confundir confidence con verdad o dar capacidad autónoma para publicar reglas.</w:t>
      </w:r>
    </w:p>
    <w:p>
      <w:r>
        <w:t>Fuera de alcance: Canvas avanzado, canales email/WhatsApp, firma, cobro Marketplace, Sentinel avanzado, Copilot y topologías enterprise no son entregas del módulo en MVP0. G-DEMO no requiere construir procesos nuevos.</w:t>
      </w:r>
    </w:p>
    <w:p>
      <w:r>
        <w:t>Confirmar políticas del cliente y contratos existentes antes de Ready; registrar decisiones en N3.20. N2 no tiene anexo propio.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N2-MVP0-V11-SUP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N2-MVP0-V11-SUP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