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N2-MVP1-V11-CAN</w:t>
      </w:r>
    </w:p>
    <w:p>
      <w:pPr>
        <w:pStyle w:val="Title"/>
      </w:pPr>
      <w:r>
        <w:t>Canvas, Schema Studio y evolución de plantillas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sobre STU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1 · Studio y Partners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N1-MVP1-V11-PRD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Process Designer, Tenant Admin, Partner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Editar gráficamente el schema del Studio guiado y evolucionar tipos documentales sin un segundo runtime ni migraciones implícitas.</w:t>
      </w:r>
    </w:p>
    <w:p>
      <w:r>
        <w:t>El Canvas no puede alterar la semántica al mover nodos; el schema avanzado debe proteger hechos históricos.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CAN.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abrir definición. Aporta publicar compatible,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Plantilla guiada v1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Definición equivalente; runtime produce mismo resultado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Conectar tarea con fin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GRAFO_VALIDO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Agregar campo opcional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COMPATIBLE; extracciones antiguas mantienen ausencia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Cambio sólo de posición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Clasificado VISUAL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Instancia v1 activa y v2 publicada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Permanece v1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Fixture happy path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Resultado esperado y cobertura registrada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Dos editores abren revisión 1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Revisión 2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Usuario sólo teclado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Definición guardada sin mouse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CAN;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CAN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Canvas model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Posiciones visuales separadas de definición ejecutable.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Schema version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Campos, tipos, validaciones y compatibilidad con extracciones.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Diff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Cambio visual versus semántico; impacto sobre instancias.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Migration plan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Origen, destino, precondiciones y reversa.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RE-CAN-01 Equivalencia lista/Canvas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Abrir y guardar en Canvas debe conservar semántica de definiciones creadas en Studio guiado. Posiciones no son reglas.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RE-CAN-02 Conexiones válidas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El editor impide enlaces huérfanos, ciclos no soportados y múltiples rutas exclusivas ambiguas; error señala nodos y recuperación.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RE-CAN-03 Schema documental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Campos poseen tipo, obligatoriedad y normalización. Un cambio incompatible crea versión y requiere revisar consumidores.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RE-CAN-04 Diff comprensible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Separar cambios en layout, reglas, roles, SLA y documentos; mostrar impacto antes de publicar.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RE-CAN-05 Migración explícita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No migrar instancias por publicar Canvas. El plan determina estado elegible, equivalencias y rollback antes de aplicar.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RE-CAN-06 Simulación aislada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Ejecutar fixtures sin enviar comunicaciones ni mutar expedientes productivos. Comparar resultado con definición publicada anterior.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RE-CAN-07 Edición colaborativa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Controlar revisiones del borrador; conservar cambios locales ante conflicto sin sobrescribir a otro editor.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RE-CAN-08 Accesibilidad y operación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Canvas tiene navegación por teclado y alternativa estructurada. No depender sólo del color ni de arrastrar con mouse.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Canvas accesible con alternativa lista; revamp de tipos y comparación de versiones.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STU, WFL, DOC, IAM;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N3-MVP1-V11-CAN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HU-CAN-01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El Canvas no puede alterar la semántica al mover nodos; el schema avanzado debe proteger hechos históricos.</w:t>
      </w:r>
    </w:p>
    <w:p>
      <w:r>
        <w:t>Fuera de alcance: Marketplace con cobro, IA autónoma avanzada y despliegue enterprise no forman parte de MVP1. No crear un segundo schema/runtime.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N2-MVP1-V11-CAN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N2-MVP1-V11-CAN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