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N3-MVP1-V11-PAR</w:t>
      </w:r>
    </w:p>
    <w:p>
      <w:pPr>
        <w:pStyle w:val="Title"/>
      </w:pPr>
      <w:r>
        <w:t>Partner Workspace y gestión delegada</w:t>
      </w:r>
    </w:p>
    <w:p>
      <w:pPr>
        <w:pStyle w:val="Subtitle"/>
      </w:pPr>
      <w:r>
        <w:t>Detalle funcional por módulo · 32 casos verificables · Reglas, QA y cierre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N3.0 Ficha documental</w:t>
        </w:r>
      </w:hyperlink>
    </w:p>
    <w:p>
      <w:pPr>
        <w:pStyle w:val="Small"/>
      </w:pPr>
      <w:hyperlink w:anchor="s2">
        <w:r>
          <w:rPr>
            <w:color w:val="6639B7"/>
          </w:rPr>
          <w:t>N3.1 Resumen ejecutivo funcional</w:t>
        </w:r>
      </w:hyperlink>
    </w:p>
    <w:p>
      <w:pPr>
        <w:pStyle w:val="Small"/>
      </w:pPr>
      <w:hyperlink w:anchor="s3">
        <w:r>
          <w:rPr>
            <w:color w:val="6639B7"/>
          </w:rPr>
          <w:t>N3.2 Contexto mínimo heredado</w:t>
        </w:r>
      </w:hyperlink>
    </w:p>
    <w:p>
      <w:pPr>
        <w:pStyle w:val="Small"/>
      </w:pPr>
      <w:hyperlink w:anchor="s4">
        <w:r>
          <w:rPr>
            <w:color w:val="6639B7"/>
          </w:rPr>
          <w:t>N3.3 Objetivo funcional exacto</w:t>
        </w:r>
      </w:hyperlink>
    </w:p>
    <w:p>
      <w:pPr>
        <w:pStyle w:val="Small"/>
      </w:pPr>
      <w:hyperlink w:anchor="s5">
        <w:r>
          <w:rPr>
            <w:color w:val="6639B7"/>
          </w:rPr>
          <w:t>N3.4 Alcance y dependencias</w:t>
        </w:r>
      </w:hyperlink>
    </w:p>
    <w:p>
      <w:pPr>
        <w:pStyle w:val="Small"/>
      </w:pPr>
      <w:hyperlink w:anchor="s6">
        <w:r>
          <w:rPr>
            <w:color w:val="6639B7"/>
          </w:rPr>
          <w:t>N3.5 Mapa funcional de extremo a extremo</w:t>
        </w:r>
      </w:hyperlink>
    </w:p>
    <w:p>
      <w:pPr>
        <w:pStyle w:val="Small"/>
      </w:pPr>
      <w:hyperlink w:anchor="s7">
        <w:r>
          <w:rPr>
            <w:color w:val="6639B7"/>
          </w:rPr>
          <w:t>N3.6 Reglas generales comentadas</w:t>
        </w:r>
      </w:hyperlink>
    </w:p>
    <w:p>
      <w:pPr>
        <w:pStyle w:val="Small"/>
      </w:pPr>
      <w:hyperlink w:anchor="s8">
        <w:r>
          <w:rPr>
            <w:color w:val="6639B7"/>
          </w:rPr>
          <w:t>N3.7 Reglas específicas del módulo</w:t>
        </w:r>
      </w:hyperlink>
    </w:p>
    <w:p>
      <w:pPr>
        <w:pStyle w:val="Small"/>
      </w:pPr>
      <w:hyperlink w:anchor="s9">
        <w:r>
          <w:rPr>
            <w:color w:val="6639B7"/>
          </w:rPr>
          <w:t>N3.8 Datos, entidades y campos</w:t>
        </w:r>
      </w:hyperlink>
    </w:p>
    <w:p>
      <w:pPr>
        <w:pStyle w:val="Small"/>
      </w:pPr>
      <w:hyperlink w:anchor="s10">
        <w:r>
          <w:rPr>
            <w:color w:val="6639B7"/>
          </w:rPr>
          <w:t>N3.9 Estados y transiciones</w:t>
        </w:r>
      </w:hyperlink>
    </w:p>
    <w:p>
      <w:pPr>
        <w:pStyle w:val="Small"/>
      </w:pPr>
      <w:hyperlink w:anchor="s11">
        <w:r>
          <w:rPr>
            <w:color w:val="6639B7"/>
          </w:rPr>
          <w:t>N3.10 Casos generales de negocio</w:t>
        </w:r>
      </w:hyperlink>
    </w:p>
    <w:p>
      <w:pPr>
        <w:pStyle w:val="Small"/>
      </w:pPr>
      <w:hyperlink w:anchor="s12">
        <w:r>
          <w:rPr>
            <w:color w:val="6639B7"/>
          </w:rPr>
          <w:t>N3.11 Casos particulares y pruebas específicas</w:t>
        </w:r>
      </w:hyperlink>
    </w:p>
    <w:p>
      <w:pPr>
        <w:pStyle w:val="Small"/>
      </w:pPr>
      <w:hyperlink w:anchor="s13">
        <w:r>
          <w:rPr>
            <w:color w:val="6639B7"/>
          </w:rPr>
          <w:t>N3.12 Historias y criterios de aceptación</w:t>
        </w:r>
      </w:hyperlink>
    </w:p>
    <w:p>
      <w:pPr>
        <w:pStyle w:val="Small"/>
      </w:pPr>
      <w:hyperlink w:anchor="s14">
        <w:r>
          <w:rPr>
            <w:color w:val="6639B7"/>
          </w:rPr>
          <w:t>N3.13 QA automatizado y SPR083</w:t>
        </w:r>
      </w:hyperlink>
    </w:p>
    <w:p>
      <w:pPr>
        <w:pStyle w:val="Small"/>
      </w:pPr>
      <w:hyperlink w:anchor="s15">
        <w:r>
          <w:rPr>
            <w:color w:val="6639B7"/>
          </w:rPr>
          <w:t>N3.14 Diseño de cada caso QA</w:t>
        </w:r>
      </w:hyperlink>
    </w:p>
    <w:p>
      <w:pPr>
        <w:pStyle w:val="Small"/>
      </w:pPr>
      <w:hyperlink w:anchor="s16">
        <w:r>
          <w:rPr>
            <w:color w:val="6639B7"/>
          </w:rPr>
          <w:t>N3.15 Fixtures y ambientes</w:t>
        </w:r>
      </w:hyperlink>
    </w:p>
    <w:p>
      <w:pPr>
        <w:pStyle w:val="Small"/>
      </w:pPr>
      <w:hyperlink w:anchor="s17">
        <w:r>
          <w:rPr>
            <w:color w:val="6639B7"/>
          </w:rPr>
          <w:t>N3.16 UX/UI y prototipos</w:t>
        </w:r>
      </w:hyperlink>
    </w:p>
    <w:p>
      <w:pPr>
        <w:pStyle w:val="Small"/>
      </w:pPr>
      <w:hyperlink w:anchor="s18">
        <w:r>
          <w:rPr>
            <w:color w:val="6639B7"/>
          </w:rPr>
          <w:t>N3.17 Análisis con Devin</w:t>
        </w:r>
      </w:hyperlink>
    </w:p>
    <w:p>
      <w:pPr>
        <w:pStyle w:val="Small"/>
      </w:pPr>
      <w:hyperlink w:anchor="s19">
        <w:r>
          <w:rPr>
            <w:color w:val="6639B7"/>
          </w:rPr>
          <w:t>N3.18 Guía CTO, Jira y estimación</w:t>
        </w:r>
      </w:hyperlink>
    </w:p>
    <w:p>
      <w:pPr>
        <w:pStyle w:val="Small"/>
      </w:pPr>
      <w:hyperlink w:anchor="s20">
        <w:r>
          <w:rPr>
            <w:color w:val="6639B7"/>
          </w:rPr>
          <w:t>N3.19 Definition of Ready y Done</w:t>
        </w:r>
      </w:hyperlink>
    </w:p>
    <w:p>
      <w:pPr>
        <w:pStyle w:val="Small"/>
      </w:pPr>
      <w:hyperlink w:anchor="s21">
        <w:r>
          <w:rPr>
            <w:color w:val="6639B7"/>
          </w:rPr>
          <w:t>N3.20 Riesgos, bloqueos y decisiones</w:t>
        </w:r>
      </w:hyperlink>
    </w:p>
    <w:p>
      <w:pPr>
        <w:pStyle w:val="Small"/>
      </w:pPr>
      <w:hyperlink w:anchor="s22">
        <w:r>
          <w:rPr>
            <w:color w:val="6639B7"/>
          </w:rPr>
          <w:t>N3.21 Anexo sugerido a Sistemas</w:t>
        </w:r>
      </w:hyperlink>
    </w:p>
    <w:p>
      <w:bookmarkStart w:id="1" w:name="s1"/>
      <w:pPr>
        <w:pStyle w:val="Heading1"/>
      </w:pPr>
      <w:r>
        <w:t>N3.0 Ficha documental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MVP / Epic documental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1 · Studio y Partners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Estado de implementación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CONSTRUIR sobre IAM/STU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Unidad desarrollable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Ocho historias funcionales HU-PAR-01 a 08; cada una usa la sección de reglas y los cuatro CP/QA asociados de este N3.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Responsables de lectura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Partner Admin, Consultor, Tenant Admin; Programador, QA Automation, UX, CTO, PO y Scrum.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TableText"/>
            </w:pPr>
            <w:r>
              <w:t>Padres</w:t>
            </w:r>
          </w:p>
        </w:tc>
        <w:tc>
          <w:tcPr>
            <w:tcW w:type="dxa" w:w="7060"/>
            <w:vAlign w:val="top"/>
          </w:tcPr>
          <w:p>
            <w:pPr>
              <w:pStyle w:val="TableText"/>
            </w:pPr>
            <w:r>
              <w:t>N0-V11-SISTEMA; N1-MVP1-V11-PRD; N2-MVP1-V11-PAR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N3.1 Resumen ejecutivo funcional</w:t>
      </w:r>
      <w:bookmarkEnd w:id="2"/>
    </w:p>
    <w:p>
      <w:r>
        <w:t>Permitir a consultores implantar y mantener plantillas de varios clientes con delegaciones explícitas, trazabilidad de autoría y métricas autorizadas.</w:t>
      </w:r>
    </w:p>
    <w:p>
      <w:r>
        <w:t>CONSTRUIR sobre IAM/STU. Relación comercial no reemplaza autorización del cliente ni permite usar datos entre tenants.</w:t>
      </w:r>
    </w:p>
    <w:p>
      <w:r>
        <w:t>El módulo se divide por reglas de negocio observables, no por capas técnicas. Una regla con interfaz y persistencia se cierra sólo cuando ambos resultados y sus pruebas están completos. Los criterios siguientes evitan que un título de historia sustituya al comportamiento esperado.</w:t>
      </w:r>
    </w:p>
    <w:p>
      <w:bookmarkStart w:id="3" w:name="s3"/>
      <w:pPr>
        <w:pStyle w:val="Heading1"/>
      </w:pPr>
      <w:r>
        <w:t>N3.2 Contexto mínimo heredado</w:t>
      </w:r>
      <w:bookmarkEnd w:id="3"/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r>
        <w:t>Dependencias de contrato: IAM, STU, GOV, CAN. Estas referencias describen servicios funcionales; no imponen microservicios separados. La matriz de interconexión distingue contrato de datos y orden de construcción.</w:t>
      </w:r>
    </w:p>
    <w:p>
      <w:bookmarkStart w:id="4" w:name="s4"/>
      <w:pPr>
        <w:pStyle w:val="Heading1"/>
      </w:pPr>
      <w:r>
        <w:t>N3.3 Objetivo funcional exacto</w:t>
      </w:r>
      <w:bookmarkEnd w:id="4"/>
    </w:p>
    <w:p>
      <w:r>
        <w:t>Permitir a consultores implantar y mantener plantillas de varios clientes con delegaciones explícitas, trazabilidad de autoría y métricas autorizadas.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observable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Visible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Nuevo workspace con selector de cliente, permisos visibles y registro de implantación.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Registrado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Recurso del módulo, estado final, actor, tenant, fecha, versión y motivo; salida de cada CP comprobable.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Éxito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32 casos CP/QA con resultado documentado; bloqueantes resueltos; regresión de dependencias sin degradación.</w:t>
            </w:r>
          </w:p>
        </w:tc>
      </w:tr>
    </w:tbl>
    <w:p>
      <w:pPr>
        <w:pStyle w:val="Small"/>
      </w:pPr>
    </w:p>
    <w:p>
      <w:bookmarkStart w:id="5" w:name="s5"/>
      <w:pPr>
        <w:pStyle w:val="Heading1"/>
      </w:pPr>
      <w:r>
        <w:t>N3.4 Alcance y dependencias</w:t>
      </w:r>
      <w:bookmarkEnd w:id="5"/>
    </w:p>
    <w:p>
      <w:pPr>
        <w:pStyle w:val="ListBullet"/>
      </w:pPr>
      <w:r>
        <w:t>Lista de clientes autorizada</w:t>
      </w:r>
    </w:p>
    <w:p>
      <w:pPr>
        <w:pStyle w:val="ListBullet"/>
      </w:pPr>
      <w:r>
        <w:t>Contexto inequívoco</w:t>
      </w:r>
    </w:p>
    <w:p>
      <w:pPr>
        <w:pStyle w:val="ListBullet"/>
      </w:pPr>
      <w:r>
        <w:t>Instalación y adaptación</w:t>
      </w:r>
    </w:p>
    <w:p>
      <w:pPr>
        <w:pStyle w:val="ListBullet"/>
      </w:pPr>
      <w:r>
        <w:t>Aceptación de implantación</w:t>
      </w:r>
    </w:p>
    <w:p>
      <w:pPr>
        <w:pStyle w:val="ListBullet"/>
      </w:pPr>
      <w:r>
        <w:t>Asignación de consultores</w:t>
      </w:r>
    </w:p>
    <w:p>
      <w:pPr>
        <w:pStyle w:val="ListBullet"/>
      </w:pPr>
      <w:r>
        <w:t>Métricas de productividad</w:t>
      </w:r>
    </w:p>
    <w:p>
      <w:pPr>
        <w:pStyle w:val="ListBullet"/>
      </w:pPr>
      <w:r>
        <w:t>Retiro y continuidad</w:t>
      </w:r>
    </w:p>
    <w:p>
      <w:pPr>
        <w:pStyle w:val="ListBullet"/>
      </w:pPr>
      <w:r>
        <w:t>Publicación futura</w:t>
      </w:r>
    </w:p>
    <w:p>
      <w:r>
        <w:t>Fuera de alcance: Marketplace con cobro, IA autónoma avanzada y despliegue enterprise no forman parte de MVP1. No crear un segundo schema/runtime.</w:t>
      </w:r>
    </w:p>
    <w:p>
      <w:r>
        <w:t>Negocio: aprobar configuración aplicable del tenant antes de activar. UX: Nuevo workspace con selector de cliente, permisos visibles y registro de implantación.</w:t>
      </w:r>
    </w:p>
    <w:p>
      <w:r>
        <w:t>QA: usar fixtures FX-PAR-01 a 32, tenant A/B, permisos positivos/negativos y reloj controlado. Sistemas confirma contratos físicos y compatibilidad de migraciones antes de implementar.</w:t>
      </w:r>
    </w:p>
    <w:p>
      <w:bookmarkStart w:id="6" w:name="s6"/>
      <w:pPr>
        <w:pStyle w:val="Heading1"/>
      </w:pPr>
      <w:r>
        <w:t>N3.5 Mapa funcional de extremo a extremo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PAR: entrada, validación, salida y tratamiento de excepción. Las rutas específicas se precisan en RE y CP.</w:t>
      </w:r>
    </w:p>
    <w:p>
      <w:pPr>
        <w:pStyle w:val="Heading3"/>
      </w:pPr>
      <w:r>
        <w:t>1 · Seleccionar cliente</w:t>
      </w:r>
    </w:p>
    <w:p>
      <w:r>
        <w:t>Responsable: Partner Admin. Entrada: Partner organization. Salida: Cliente objetivo explícito. Evidencia: correlación, revisión, actor y resultado de la acción.</w:t>
      </w:r>
    </w:p>
    <w:p>
      <w:pPr>
        <w:pStyle w:val="Heading3"/>
      </w:pPr>
      <w:r>
        <w:t>2 · Validar delegación</w:t>
      </w:r>
    </w:p>
    <w:p>
      <w:r>
        <w:t>Responsable: Partner Admin. Entrada: Cliente objetivo explícito. Salida: Grant aceptado y vigente. Evidencia: correlación, revisión, actor y resultado de la acción.</w:t>
      </w:r>
    </w:p>
    <w:p>
      <w:pPr>
        <w:pStyle w:val="Heading3"/>
      </w:pPr>
      <w:r>
        <w:t>3 · Instalar base</w:t>
      </w:r>
    </w:p>
    <w:p>
      <w:r>
        <w:t>Responsable: Partner Admin. Entrada: Grant aceptado y vigente. Salida: Instalación con provenance. Evidencia: correlación, revisión, actor y resultado de la acción.</w:t>
      </w:r>
    </w:p>
    <w:p>
      <w:pPr>
        <w:pStyle w:val="Heading3"/>
      </w:pPr>
      <w:r>
        <w:t>4 · Adaptar y probar</w:t>
      </w:r>
    </w:p>
    <w:p>
      <w:r>
        <w:t>Responsable: Partner Admin. Entrada: Instalación con provenance. Salida: Configuración validada en sandbox del cliente. Evidencia: correlación, revisión, actor y resultado de la acción.</w:t>
      </w:r>
    </w:p>
    <w:p>
      <w:pPr>
        <w:pStyle w:val="Heading3"/>
      </w:pPr>
      <w:r>
        <w:t>5 · Cliente acepta</w:t>
      </w:r>
    </w:p>
    <w:p>
      <w:r>
        <w:t>Responsable: Partner Admin. Entrada: Configuración validada en sandbox del cliente. Salida: Aceptación o correcciones exigidas. Evidencia: correlación, revisión, actor y resultado de la acción.</w:t>
      </w:r>
    </w:p>
    <w:p>
      <w:pPr>
        <w:pStyle w:val="Heading3"/>
      </w:pPr>
      <w:r>
        <w:t>6 · Medir implantación</w:t>
      </w:r>
    </w:p>
    <w:p>
      <w:r>
        <w:t>Responsable: Partner Admin. Entrada: Aceptación o correcciones exigidas. Salida: Hitos y evidencia sin acceso cross-tenant. Evidencia: correlación, revisión, actor y resultado de la acción.</w:t>
      </w:r>
    </w:p>
    <w:p>
      <w:pPr>
        <w:pStyle w:val="Small"/>
      </w:pPr>
    </w:p>
    <w:p>
      <w:bookmarkStart w:id="7" w:name="s7"/>
      <w:pPr>
        <w:pStyle w:val="Heading1"/>
      </w:pPr>
      <w:r>
        <w:t>N3.6 Reglas generales comentadas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950"/>
        <w:gridCol w:w="8410"/>
      </w:tblGrid>
      <w:tr>
        <w:trPr>
          <w:cantSplit/>
          <w:tblHeader/>
        </w:trPr>
        <w:tc>
          <w:tcPr>
            <w:tcW w:type="dxa" w:w="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8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RG-01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Resolver tenant, identidad y permiso antes de leer o mutar recursos. La autorización del host no sustituye la autorización de NEXT.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RG-02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Conservar versión de definición, política, documento y evidencia usada en decisiones. No sobrescribir historia.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RG-03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Reintentos y concurrencia no repiten un efecto confirmado; clave de idempotencia y revisión de recurso deben comprobarse.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RG-04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No confirmar éxito antes de persistir resultado; errores muestran causa recuperable o denegación sin exponer datos ajenos.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RG-05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El contenido documental se trata como datos no confiables; no ejecuta instrucciones para cambiar permisos o políticas.</w:t>
            </w:r>
          </w:p>
        </w:tc>
      </w:tr>
      <w:tr>
        <w:trPr>
          <w:cantSplit/>
        </w:trPr>
        <w:tc>
          <w:tcPr>
            <w:tcW w:type="dxa" w:w="950"/>
            <w:vAlign w:val="top"/>
          </w:tcPr>
          <w:p>
            <w:pPr>
              <w:pStyle w:val="TableText"/>
            </w:pPr>
            <w:r>
              <w:t>RG-06</w:t>
            </w:r>
          </w:p>
        </w:tc>
        <w:tc>
          <w:tcPr>
            <w:tcW w:type="dxa" w:w="8410"/>
            <w:vAlign w:val="top"/>
          </w:tcPr>
          <w:p>
            <w:pPr>
              <w:pStyle w:val="TableText"/>
            </w:pPr>
            <w:r>
              <w:t>La evidencia de aceptación se obtiene ejecutando casos. Estado funcional objetivo no significa implementación o prueba aprobada.</w:t>
            </w:r>
          </w:p>
        </w:tc>
      </w:tr>
    </w:tbl>
    <w:p>
      <w:pPr>
        <w:pStyle w:val="Small"/>
      </w:pPr>
    </w:p>
    <w:p>
      <w:r>
        <w:t>Razón operativa: estos controles protegen aislamiento, reproducción histórica y continuidad cuando varios actores o workers actúan sobre la misma entidad.</w:t>
      </w:r>
    </w:p>
    <w:p>
      <w:bookmarkStart w:id="8" w:name="s8"/>
      <w:pPr>
        <w:pStyle w:val="Heading1"/>
      </w:pPr>
      <w:r>
        <w:t>N3.7 Reglas específicas del módulo</w:t>
      </w:r>
      <w:bookmarkEnd w:id="8"/>
    </w:p>
    <w:p>
      <w:pPr>
        <w:pStyle w:val="Heading2"/>
      </w:pPr>
      <w:r>
        <w:t>RE-PAR-01 · Lista de clientes autorizada</w:t>
      </w:r>
    </w:p>
    <w:p>
      <w:r>
        <w:t>La lista se deriva de grants activos; no mostrar clientes históricos revocados como si siguieran accesibles.</w:t>
      </w:r>
    </w:p>
    <w:p>
      <w:pPr>
        <w:pStyle w:val="Small"/>
      </w:pPr>
      <w:r>
        <w:t>Validación: QA-PAR-01 a QA-PAR-04. La primera prueba confirma la ruta habilitada y las restantes ejercitan límites, alternativas o fallos concretos.</w:t>
      </w:r>
    </w:p>
    <w:p>
      <w:pPr>
        <w:pStyle w:val="Heading2"/>
      </w:pPr>
      <w:r>
        <w:t>RE-PAR-02 · Contexto inequívoco</w:t>
      </w:r>
    </w:p>
    <w:p>
      <w:r>
        <w:t>Cada acción muestra y valida tenant cliente. Cambiar cliente invalida selecciones de recursos previos.</w:t>
      </w:r>
    </w:p>
    <w:p>
      <w:pPr>
        <w:pStyle w:val="Small"/>
      </w:pPr>
      <w:r>
        <w:t>Validación: QA-PAR-05 a QA-PAR-08. La primera prueba confirma la ruta habilitada y las restantes ejercitan límites, alternativas o fallos concretos.</w:t>
      </w:r>
    </w:p>
    <w:p>
      <w:pPr>
        <w:pStyle w:val="Heading2"/>
      </w:pPr>
      <w:r>
        <w:t>RE-PAR-03 · Instalación y adaptación</w:t>
      </w:r>
    </w:p>
    <w:p>
      <w:r>
        <w:t>Instalar base autorizada conserva fuente, versión y owner; cambios del cliente quedan como fork/overlay explícito.</w:t>
      </w:r>
    </w:p>
    <w:p>
      <w:pPr>
        <w:pStyle w:val="Small"/>
      </w:pPr>
      <w:r>
        <w:t>Validación: QA-PAR-09 a QA-PAR-12. La primera prueba confirma la ruta habilitada y las restantes ejercitan límites, alternativas o fallos concretos.</w:t>
      </w:r>
    </w:p>
    <w:p>
      <w:pPr>
        <w:pStyle w:val="Heading2"/>
      </w:pPr>
      <w:r>
        <w:t>RE-PAR-04 · Aceptación de implantación</w:t>
      </w:r>
    </w:p>
    <w:p>
      <w:r>
        <w:t>Cliente valida fixture y alcance antes de activar configuración. Partner no se autoaprueba cuando se exige segregación.</w:t>
      </w:r>
    </w:p>
    <w:p>
      <w:pPr>
        <w:pStyle w:val="Small"/>
      </w:pPr>
      <w:r>
        <w:t>Validación: QA-PAR-13 a QA-PAR-16. La primera prueba confirma la ruta habilitada y las restantes ejercitan límites, alternativas o fallos concretos.</w:t>
      </w:r>
    </w:p>
    <w:p>
      <w:pPr>
        <w:pStyle w:val="Heading2"/>
      </w:pPr>
      <w:r>
        <w:t>RE-PAR-05 · Asignación de consultores</w:t>
      </w:r>
    </w:p>
    <w:p>
      <w:r>
        <w:t>Delegar dentro de scopes concedidos; un administrador de partner no amplía el alcance del grant cliente.</w:t>
      </w:r>
    </w:p>
    <w:p>
      <w:pPr>
        <w:pStyle w:val="Small"/>
      </w:pPr>
      <w:r>
        <w:t>Validación: QA-PAR-17 a QA-PAR-20. La primera prueba confirma la ruta habilitada y las restantes ejercitan límites, alternativas o fallos concretos.</w:t>
      </w:r>
    </w:p>
    <w:p>
      <w:pPr>
        <w:pStyle w:val="Heading2"/>
      </w:pPr>
      <w:r>
        <w:t>RE-PAR-06 · Métricas de productividad</w:t>
      </w:r>
    </w:p>
    <w:p>
      <w:r>
        <w:t>Medir tiempos y calidad por implantación autorizada; no revelar costos o documentos de clientes a otros clientes.</w:t>
      </w:r>
    </w:p>
    <w:p>
      <w:pPr>
        <w:pStyle w:val="Small"/>
      </w:pPr>
      <w:r>
        <w:t>Validación: QA-PAR-21 a QA-PAR-24. La primera prueba confirma la ruta habilitada y las restantes ejercitan límites, alternativas o fallos concretos.</w:t>
      </w:r>
    </w:p>
    <w:p>
      <w:pPr>
        <w:pStyle w:val="Heading2"/>
      </w:pPr>
      <w:r>
        <w:t>RE-PAR-07 · Retiro y continuidad</w:t>
      </w:r>
    </w:p>
    <w:p>
      <w:r>
        <w:t>Revocar partner no detiene plantillas ya publicadas por el cliente. Transferir mantenimiento requiere owner autorizado.</w:t>
      </w:r>
    </w:p>
    <w:p>
      <w:pPr>
        <w:pStyle w:val="Small"/>
      </w:pPr>
      <w:r>
        <w:t>Validación: QA-PAR-25 a QA-PAR-28. La primera prueba confirma la ruta habilitada y las restantes ejercitan límites, alternativas o fallos concretos.</w:t>
      </w:r>
    </w:p>
    <w:p>
      <w:pPr>
        <w:pStyle w:val="Heading2"/>
      </w:pPr>
      <w:r>
        <w:t>RE-PAR-08 · Publicación futura</w:t>
      </w:r>
    </w:p>
    <w:p>
      <w:r>
        <w:t>Preparar metadata catalog-ready sin activar cobros de Marketplace en MVP1. Certificación comercial ocurre en MVP2.</w:t>
      </w:r>
    </w:p>
    <w:p>
      <w:pPr>
        <w:pStyle w:val="Small"/>
      </w:pPr>
      <w:r>
        <w:t>Validación: QA-PAR-29 a QA-PAR-32. La primera prueba confirma la ruta habilitada y las restantes ejercitan límites, alternativas o fallos concretos.</w:t>
      </w:r>
    </w:p>
    <w:p>
      <w:bookmarkStart w:id="9" w:name="s9"/>
      <w:pPr>
        <w:pStyle w:val="Heading1"/>
      </w:pPr>
      <w:r>
        <w:t>N3.8 Datos, entidades y campos</w:t>
      </w:r>
      <w:bookmarkEnd w:id="9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Origen, contenido y validación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Partner organization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Identidad, estado y contactos; no implica acceso a clientes.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Client workspace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Vista derivada de grants, no duplicación de tenant.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Implementation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Plantilla, cliente, versión, owner y checklist de aceptación.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Provenance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Cadena de autoría/fork y permisos de distribución.</w:t>
            </w:r>
          </w:p>
        </w:tc>
      </w:tr>
    </w:tbl>
    <w:p>
      <w:pPr>
        <w:pStyle w:val="Small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 transversal</w:t>
            </w:r>
          </w:p>
        </w:tc>
        <w:tc>
          <w:tcPr>
            <w:tcW w:type="dxa" w:w="6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Obligatoriedad / validación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tenant_ref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Siempre; autorizado por IAM en la acción, no inferido de un nombre.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resource_ref + revision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Siempre en mutaciones; revisión leída debe coincidir con la vigente.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correlation_ref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En ingreso y propagación; unir evento, job, resultado y audit.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reason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Obligatorio para corrección, rechazo, dispensa, cancelación y acceso excepcional.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effective_at / occurred_at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Instante servidor y fecha del hecho diferenciados; conservar zona para interpretación.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policy_version / definition_version</w:t>
            </w:r>
          </w:p>
        </w:tc>
        <w:tc>
          <w:tcPr>
            <w:tcW w:type="dxa" w:w="6960"/>
            <w:vAlign w:val="top"/>
          </w:tcPr>
          <w:p>
            <w:pPr>
              <w:pStyle w:val="TableText"/>
            </w:pPr>
            <w:r>
              <w:t>Cuando intervienen; fijadas en evaluación y reconstruibles.</w:t>
            </w:r>
          </w:p>
        </w:tc>
      </w:tr>
    </w:tbl>
    <w:p>
      <w:pPr>
        <w:pStyle w:val="Small"/>
      </w:pPr>
    </w:p>
    <w:p>
      <w:bookmarkStart w:id="10" w:name="s10"/>
      <w:pPr>
        <w:pStyle w:val="Heading1"/>
      </w:pPr>
      <w:r>
        <w:t>N3.9 Estados y transiciones</w:t>
      </w:r>
      <w:bookmarkEnd w:id="10"/>
    </w:p>
    <w:p>
      <w:r>
        <w:t>Vocabulario funcional objetivo. Sistemas debe mapearlo a estados existentes cuando correspondan, sin renombrar o migrar datos por mera diferencia de etiqueta. Una salida CP que describe una denegación es resultado de acción, no un nuevo estado persistente obligatorio.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3800"/>
        <w:gridCol w:w="33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Origen</w:t>
            </w:r>
          </w:p>
        </w:tc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Disparador / condición</w:t>
            </w:r>
          </w:p>
        </w:tc>
        <w:tc>
          <w:tcPr>
            <w:tcW w:type="dxa" w:w="3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Destino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SIN_GRANT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cliente delega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HABILITADO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HABILITADO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configuración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EN_IMPLANTACION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EN_IMPLANTACION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aceptación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OPERATIVO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HABILITADO</w:t>
            </w:r>
          </w:p>
        </w:tc>
        <w:tc>
          <w:tcPr>
            <w:tcW w:type="dxa" w:w="3800"/>
            <w:vAlign w:val="top"/>
          </w:tcPr>
          <w:p>
            <w:pPr>
              <w:pStyle w:val="TableText"/>
            </w:pPr>
            <w:r>
              <w:t>revocación</w:t>
            </w:r>
          </w:p>
        </w:tc>
        <w:tc>
          <w:tcPr>
            <w:tcW w:type="dxa" w:w="3360"/>
            <w:vAlign w:val="top"/>
          </w:tcPr>
          <w:p>
            <w:pPr>
              <w:pStyle w:val="TableText"/>
            </w:pPr>
            <w:r>
              <w:t>SUSPENDIDO</w:t>
            </w:r>
          </w:p>
        </w:tc>
      </w:tr>
    </w:tbl>
    <w:p>
      <w:pPr>
        <w:pStyle w:val="Small"/>
      </w:pPr>
    </w:p>
    <w:p>
      <w:r>
        <w:t>Semáforos: verde = condición satisfecha; ámbar = revisión o espera; rojo = bloqueo o fallo; gris = no iniciado/no aplicable. El texto del estado es obligatorio para accesibilidad.</w:t>
      </w:r>
    </w:p>
    <w:p>
      <w:bookmarkStart w:id="11" w:name="s11"/>
      <w:pPr>
        <w:pStyle w:val="Heading1"/>
      </w:pPr>
      <w:r>
        <w:t>N3.10 Casos generales de negocio</w:t>
      </w:r>
      <w:bookmarkEnd w:id="1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450"/>
        <w:gridCol w:w="7910"/>
      </w:tblGrid>
      <w:tr>
        <w:trPr>
          <w:cantSplit/>
          <w:tblHeader/>
        </w:trPr>
        <w:tc>
          <w:tcPr>
            <w:tcW w:type="dxa" w:w="14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79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 y resultado de negocio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CBG-PAR-01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Permitir a consultores implantar y mantener plantillas de varios clientes con delegaciones explícitas, trazabilidad de autoría y métricas autorizadas.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CBG-PAR-02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Un actor externo o sistema dependiente recibe sólo el resultado autorizado, con referencia y estado comprensibles.</w:t>
            </w:r>
          </w:p>
        </w:tc>
      </w:tr>
      <w:tr>
        <w:trPr>
          <w:cantSplit/>
        </w:trPr>
        <w:tc>
          <w:tcPr>
            <w:tcW w:type="dxa" w:w="1450"/>
            <w:vAlign w:val="top"/>
          </w:tcPr>
          <w:p>
            <w:pPr>
              <w:pStyle w:val="TableText"/>
            </w:pPr>
            <w:r>
              <w:t>CBG-PAR-03</w:t>
            </w:r>
          </w:p>
        </w:tc>
        <w:tc>
          <w:tcPr>
            <w:tcW w:type="dxa" w:w="7910"/>
            <w:vAlign w:val="top"/>
          </w:tcPr>
          <w:p>
            <w:pPr>
              <w:pStyle w:val="TableText"/>
            </w:pPr>
            <w:r>
              <w:t>La corrección o caída de una dependencia permite continuar desde el último resultado confirmado sin duplicar trabajo.</w:t>
            </w:r>
          </w:p>
        </w:tc>
      </w:tr>
    </w:tbl>
    <w:p>
      <w:pPr>
        <w:pStyle w:val="Small"/>
      </w:pPr>
    </w:p>
    <w:p>
      <w:bookmarkStart w:id="12" w:name="s12"/>
      <w:pPr>
        <w:pStyle w:val="Heading1"/>
      </w:pPr>
      <w:r>
        <w:t>N3.11 Casos particulares y pruebas específicas</w:t>
      </w:r>
      <w:bookmarkEnd w:id="12"/>
    </w:p>
    <w:p>
      <w:r>
        <w:t>Cada CP es también la especificación ejecutable de su QA del mismo número. Preparar el fixture descrito, ejecutar la acción y comprobar toda la salida: estado, efectos permitidos y efectos prohibidos. Resultados de ejecución quedan PENDIENTES hasta que el equipo corra la suite. Los números de ejemplo son datos de prueba, no parámetros productivos.</w:t>
      </w:r>
    </w:p>
    <w:p>
      <w:pPr>
        <w:pStyle w:val="Heading2"/>
      </w:pPr>
      <w:r>
        <w:t>Casos de RE-PAR-01 · Lista de clientes autorizada</w:t>
      </w:r>
    </w:p>
    <w:p>
      <w:pPr>
        <w:pStyle w:val="Heading3"/>
      </w:pPr>
      <w:r>
        <w:t>CP-PAR-01 / QA-PAR-01</w:t>
      </w:r>
    </w:p>
    <w:p>
      <w:r>
        <w:t>Dado: Partner con grants en A y B. Fixture FX-PAR-01.</w:t>
      </w:r>
    </w:p>
    <w:p>
      <w:r>
        <w:t>Cuando: Abrir workspace. Entonces: Sólo A y B habilitados.</w:t>
      </w:r>
    </w:p>
    <w:p>
      <w:pPr>
        <w:pStyle w:val="Small"/>
      </w:pPr>
      <w:r>
        <w:t>Regla RE-PAR-01 · Historia HU-PAR-01.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CP-PAR-02 / QA-PAR-02</w:t>
      </w:r>
    </w:p>
    <w:p>
      <w:r>
        <w:t>Dado: Grant de B revocado. Fixture FX-PAR-02.</w:t>
      </w:r>
    </w:p>
    <w:p>
      <w:r>
        <w:t>Cuando: Actualizar workspace. Entonces: B sin acceso; historia mínima autorizada.</w:t>
      </w:r>
    </w:p>
    <w:p>
      <w:pPr>
        <w:pStyle w:val="Small"/>
      </w:pPr>
      <w:r>
        <w:t>Regla RE-PAR-01 · Historia HU-PAR-01.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CP-PAR-03 / QA-PAR-03</w:t>
      </w:r>
    </w:p>
    <w:p>
      <w:r>
        <w:t>Dado: Partner nuevo sin grants. Fixture FX-PAR-03.</w:t>
      </w:r>
    </w:p>
    <w:p>
      <w:r>
        <w:t>Cuando: Abrir. Entonces: Estado vacío con solicitud de delegación.</w:t>
      </w:r>
    </w:p>
    <w:p>
      <w:pPr>
        <w:pStyle w:val="Small"/>
      </w:pPr>
      <w:r>
        <w:t>Regla RE-PAR-01 · Historia HU-PAR-01.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CP-PAR-04 / QA-PAR-04</w:t>
      </w:r>
    </w:p>
    <w:p>
      <w:r>
        <w:t>Dado: Búsqueda por nombre de cliente no delegado. Fixture FX-PAR-04.</w:t>
      </w:r>
    </w:p>
    <w:p>
      <w:r>
        <w:t>Cuando: Buscar. Entonces: Sin metadata privada ni confirmación de existencia.</w:t>
      </w:r>
    </w:p>
    <w:p>
      <w:pPr>
        <w:pStyle w:val="Small"/>
      </w:pPr>
      <w:r>
        <w:t>Regla RE-PAR-01 · Historia HU-PAR-01.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RE-PAR-02 · Contexto inequívoco</w:t>
      </w:r>
    </w:p>
    <w:p>
      <w:pPr>
        <w:pStyle w:val="Heading3"/>
      </w:pPr>
      <w:r>
        <w:t>CP-PAR-05 / QA-PAR-05</w:t>
      </w:r>
    </w:p>
    <w:p>
      <w:r>
        <w:t>Dado: Consultor trabaja en A. Fixture FX-PAR-05.</w:t>
      </w:r>
    </w:p>
    <w:p>
      <w:r>
        <w:t>Cuando: Guardar plantilla. Entonces: Plantilla pertenece a A.</w:t>
      </w:r>
    </w:p>
    <w:p>
      <w:pPr>
        <w:pStyle w:val="Small"/>
      </w:pPr>
      <w:r>
        <w:t>Regla RE-PAR-02 · Historia HU-PAR-02.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CP-PAR-06 / QA-PAR-06</w:t>
      </w:r>
    </w:p>
    <w:p>
      <w:r>
        <w:t>Dado: Cambiar de A a B con documento A seleccionado. Fixture FX-PAR-06.</w:t>
      </w:r>
    </w:p>
    <w:p>
      <w:r>
        <w:t>Cuando: Ejecutar acción. Entonces: BLOQUEADA hasta seleccionar recurso de B.</w:t>
      </w:r>
    </w:p>
    <w:p>
      <w:pPr>
        <w:pStyle w:val="Small"/>
      </w:pPr>
      <w:r>
        <w:t>Regla RE-PAR-02 · Historia HU-PAR-02.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CP-PAR-07 / QA-PAR-07</w:t>
      </w:r>
    </w:p>
    <w:p>
      <w:r>
        <w:t>Dado: URL directa con cliente distinto al selector. Fixture FX-PAR-07.</w:t>
      </w:r>
    </w:p>
    <w:p>
      <w:r>
        <w:t>Cuando: Abrir. Entonces: Reevaluar permisos y contexto.</w:t>
      </w:r>
    </w:p>
    <w:p>
      <w:pPr>
        <w:pStyle w:val="Small"/>
      </w:pPr>
      <w:r>
        <w:t>Regla RE-PAR-02 · Historia HU-PAR-02.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CP-PAR-08 / QA-PAR-08</w:t>
      </w:r>
    </w:p>
    <w:p>
      <w:r>
        <w:t>Dado: Dos pestañas A y B. Fixture FX-PAR-08.</w:t>
      </w:r>
    </w:p>
    <w:p>
      <w:r>
        <w:t>Cuando: Guardar en ambas. Entonces: Cada solicitud mantiene tenant correcto.</w:t>
      </w:r>
    </w:p>
    <w:p>
      <w:pPr>
        <w:pStyle w:val="Small"/>
      </w:pPr>
      <w:r>
        <w:t>Regla RE-PAR-02 · Historia HU-PAR-02.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RE-PAR-03 · Instalación y adaptación</w:t>
      </w:r>
    </w:p>
    <w:p>
      <w:pPr>
        <w:pStyle w:val="Heading3"/>
      </w:pPr>
      <w:r>
        <w:t>CP-PAR-09 / QA-PAR-09</w:t>
      </w:r>
    </w:p>
    <w:p>
      <w:r>
        <w:t>Dado: Base compartida autorizada. Fixture FX-PAR-09.</w:t>
      </w:r>
    </w:p>
    <w:p>
      <w:r>
        <w:t>Cuando: Instalar en A. Entonces: INSTALADA con provenance.</w:t>
      </w:r>
    </w:p>
    <w:p>
      <w:pPr>
        <w:pStyle w:val="Small"/>
      </w:pPr>
      <w:r>
        <w:t>Regla RE-PAR-03 · Historia HU-PAR-03.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CP-PAR-10 / QA-PAR-10</w:t>
      </w:r>
    </w:p>
    <w:p>
      <w:r>
        <w:t>Dado: Base privada sin permiso de distribución. Fixture FX-PAR-10.</w:t>
      </w:r>
    </w:p>
    <w:p>
      <w:r>
        <w:t>Cuando: Instalar. Entonces: DENEGADO.</w:t>
      </w:r>
    </w:p>
    <w:p>
      <w:pPr>
        <w:pStyle w:val="Small"/>
      </w:pPr>
      <w:r>
        <w:t>Regla RE-PAR-03 · Historia HU-PAR-03.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CP-PAR-11 / QA-PAR-11</w:t>
      </w:r>
    </w:p>
    <w:p>
      <w:r>
        <w:t>Dado: Adaptación local de regla. Fixture FX-PAR-11.</w:t>
      </w:r>
    </w:p>
    <w:p>
      <w:r>
        <w:t>Cuando: Guardar. Entonces: Nueva versión/fork del cliente.</w:t>
      </w:r>
    </w:p>
    <w:p>
      <w:pPr>
        <w:pStyle w:val="Small"/>
      </w:pPr>
      <w:r>
        <w:t>Regla RE-PAR-03 · Historia HU-PAR-03.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CP-PAR-12 / QA-PAR-12</w:t>
      </w:r>
    </w:p>
    <w:p>
      <w:r>
        <w:t>Dado: Actualizar plantilla fuente. Fixture FX-PAR-12.</w:t>
      </w:r>
    </w:p>
    <w:p>
      <w:r>
        <w:t>Cuando: Consultar instalación existente. Entonces: No se modifica automáticamente.</w:t>
      </w:r>
    </w:p>
    <w:p>
      <w:pPr>
        <w:pStyle w:val="Small"/>
      </w:pPr>
      <w:r>
        <w:t>Regla RE-PAR-03 · Historia HU-PAR-03.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RE-PAR-04 · Aceptación de implantación</w:t>
      </w:r>
    </w:p>
    <w:p>
      <w:pPr>
        <w:pStyle w:val="Heading3"/>
      </w:pPr>
      <w:r>
        <w:t>CP-PAR-13 / QA-PAR-13</w:t>
      </w:r>
    </w:p>
    <w:p>
      <w:r>
        <w:t>Dado: Cliente aprueba pruebas y alcance. Fixture FX-PAR-13.</w:t>
      </w:r>
    </w:p>
    <w:p>
      <w:r>
        <w:t>Cuando: Activar. Entonces: OPERATIVO con aprobación cliente.</w:t>
      </w:r>
    </w:p>
    <w:p>
      <w:pPr>
        <w:pStyle w:val="Small"/>
      </w:pPr>
      <w:r>
        <w:t>Regla RE-PAR-04 · Historia HU-PAR-04.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CP-PAR-14 / QA-PAR-14</w:t>
      </w:r>
    </w:p>
    <w:p>
      <w:r>
        <w:t>Dado: Partner autor intenta aprobar su entrega con segregación. Fixture FX-PAR-14.</w:t>
      </w:r>
    </w:p>
    <w:p>
      <w:r>
        <w:t>Cuando: Confirmar. Entonces: DENEGADO.</w:t>
      </w:r>
    </w:p>
    <w:p>
      <w:pPr>
        <w:pStyle w:val="Small"/>
      </w:pPr>
      <w:r>
        <w:t>Regla RE-PAR-04 · Historia HU-PAR-04.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CP-PAR-15 / QA-PAR-15</w:t>
      </w:r>
    </w:p>
    <w:p>
      <w:r>
        <w:t>Dado: Caso bloqueante fallido. Fixture FX-PAR-15.</w:t>
      </w:r>
    </w:p>
    <w:p>
      <w:r>
        <w:t>Cuando: Solicitar aceptación. Entonces: BLOQUEADA hasta corrección.</w:t>
      </w:r>
    </w:p>
    <w:p>
      <w:pPr>
        <w:pStyle w:val="Small"/>
      </w:pPr>
      <w:r>
        <w:t>Regla RE-PAR-04 · Historia HU-PAR-04.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CP-PAR-16 / QA-PAR-16</w:t>
      </w:r>
    </w:p>
    <w:p>
      <w:r>
        <w:t>Dado: Cambio después de aceptación. Fixture FX-PAR-16.</w:t>
      </w:r>
    </w:p>
    <w:p>
      <w:r>
        <w:t>Cuando: Publicar. Entonces: Nueva revisión de aceptación para cambio funcional.</w:t>
      </w:r>
    </w:p>
    <w:p>
      <w:pPr>
        <w:pStyle w:val="Small"/>
      </w:pPr>
      <w:r>
        <w:t>Regla RE-PAR-04 · Historia HU-PAR-04.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RE-PAR-05 · Asignación de consultores</w:t>
      </w:r>
    </w:p>
    <w:p>
      <w:pPr>
        <w:pStyle w:val="Heading3"/>
      </w:pPr>
      <w:r>
        <w:t>CP-PAR-17 / QA-PAR-17</w:t>
      </w:r>
    </w:p>
    <w:p>
      <w:r>
        <w:t>Dado: Partner Admin asigna consultor a A dentro del grant. Fixture FX-PAR-17.</w:t>
      </w:r>
    </w:p>
    <w:p>
      <w:r>
        <w:t>Cuando: Guardar. Entonces: Consultor autorizado al subconjunto.</w:t>
      </w:r>
    </w:p>
    <w:p>
      <w:pPr>
        <w:pStyle w:val="Small"/>
      </w:pPr>
      <w:r>
        <w:t>Regla RE-PAR-05 · Historia HU-PAR-05.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CP-PAR-18 / QA-PAR-18</w:t>
      </w:r>
    </w:p>
    <w:p>
      <w:r>
        <w:t>Dado: Asignación incluye permiso no concedido por A. Fixture FX-PAR-18.</w:t>
      </w:r>
    </w:p>
    <w:p>
      <w:r>
        <w:t>Cuando: Guardar. Entonces: DENEGADO.</w:t>
      </w:r>
    </w:p>
    <w:p>
      <w:pPr>
        <w:pStyle w:val="Small"/>
      </w:pPr>
      <w:r>
        <w:t>Regla RE-PAR-05 · Historia HU-PAR-05.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CP-PAR-19 / QA-PAR-19</w:t>
      </w:r>
    </w:p>
    <w:p>
      <w:r>
        <w:t>Dado: Consultor retirado del partner. Fixture FX-PAR-19.</w:t>
      </w:r>
    </w:p>
    <w:p>
      <w:r>
        <w:t>Cuando: Acceder a A. Entonces: DENEGADO tras revocación.</w:t>
      </w:r>
    </w:p>
    <w:p>
      <w:pPr>
        <w:pStyle w:val="Small"/>
      </w:pPr>
      <w:r>
        <w:t>Regla RE-PAR-05 · Historia HU-PAR-05.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CP-PAR-20 / QA-PAR-20</w:t>
      </w:r>
    </w:p>
    <w:p>
      <w:r>
        <w:t>Dado: Consultor con lectura solicita publicación. Fixture FX-PAR-20.</w:t>
      </w:r>
    </w:p>
    <w:p>
      <w:r>
        <w:t>Cuando: Publicar. Entonces: DENEGADO.</w:t>
      </w:r>
    </w:p>
    <w:p>
      <w:pPr>
        <w:pStyle w:val="Small"/>
      </w:pPr>
      <w:r>
        <w:t>Regla RE-PAR-05 · Historia HU-PAR-05.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RE-PAR-06 · Métricas de productividad</w:t>
      </w:r>
    </w:p>
    <w:p>
      <w:pPr>
        <w:pStyle w:val="Heading3"/>
      </w:pPr>
      <w:r>
        <w:t>CP-PAR-21 / QA-PAR-21</w:t>
      </w:r>
    </w:p>
    <w:p>
      <w:r>
        <w:t>Dado: Dos implantaciones aceptadas en período. Fixture FX-PAR-21.</w:t>
      </w:r>
    </w:p>
    <w:p>
      <w:r>
        <w:t>Cuando: Calcular throughput. Entonces: Dos aceptadas con referencias consultables.</w:t>
      </w:r>
    </w:p>
    <w:p>
      <w:pPr>
        <w:pStyle w:val="Small"/>
      </w:pPr>
      <w:r>
        <w:t>Regla RE-PAR-06 · Historia HU-PAR-06.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CP-PAR-22 / QA-PAR-22</w:t>
      </w:r>
    </w:p>
    <w:p>
      <w:r>
        <w:t>Dado: Implantación cancelada. Fixture FX-PAR-22.</w:t>
      </w:r>
    </w:p>
    <w:p>
      <w:r>
        <w:t>Cuando: Calcular aceptadas. Entonces: No cuenta como éxito.</w:t>
      </w:r>
    </w:p>
    <w:p>
      <w:pPr>
        <w:pStyle w:val="Small"/>
      </w:pPr>
      <w:r>
        <w:t>Regla RE-PAR-06 · Historia HU-PAR-06.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CP-PAR-23 / QA-PAR-23</w:t>
      </w:r>
    </w:p>
    <w:p>
      <w:r>
        <w:t>Dado: Cliente A abre comparativa. Fixture FX-PAR-23.</w:t>
      </w:r>
    </w:p>
    <w:p>
      <w:r>
        <w:t>Cuando: Consultar. Entonces: Sólo métricas autorizadas de A.</w:t>
      </w:r>
    </w:p>
    <w:p>
      <w:pPr>
        <w:pStyle w:val="Small"/>
      </w:pPr>
      <w:r>
        <w:t>Regla RE-PAR-06 · Historia HU-PAR-06.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CP-PAR-24 / QA-PAR-24</w:t>
      </w:r>
    </w:p>
    <w:p>
      <w:r>
        <w:t>Dado: Partner pierde grant. Fixture FX-PAR-24.</w:t>
      </w:r>
    </w:p>
    <w:p>
      <w:r>
        <w:t>Cuando: Abrir detalle histórico sensible. Entonces: DENEGADO según política de retención/acceso.</w:t>
      </w:r>
    </w:p>
    <w:p>
      <w:pPr>
        <w:pStyle w:val="Small"/>
      </w:pPr>
      <w:r>
        <w:t>Regla RE-PAR-06 · Historia HU-PAR-06.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RE-PAR-07 · Retiro y continuidad</w:t>
      </w:r>
    </w:p>
    <w:p>
      <w:pPr>
        <w:pStyle w:val="Heading3"/>
      </w:pPr>
      <w:r>
        <w:t>CP-PAR-25 / QA-PAR-25</w:t>
      </w:r>
    </w:p>
    <w:p>
      <w:r>
        <w:t>Dado: Cliente revoca grant. Fixture FX-PAR-25.</w:t>
      </w:r>
    </w:p>
    <w:p>
      <w:r>
        <w:t>Cuando: Continuar instancia publicada. Entonces: Instancia sigue operativa.</w:t>
      </w:r>
    </w:p>
    <w:p>
      <w:pPr>
        <w:pStyle w:val="Small"/>
      </w:pPr>
      <w:r>
        <w:t>Regla RE-PAR-07 · Historia HU-PAR-07.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CP-PAR-26 / QA-PAR-26</w:t>
      </w:r>
    </w:p>
    <w:p>
      <w:r>
        <w:t>Dado: Partner revocado intenta editar. Fixture FX-PAR-26.</w:t>
      </w:r>
    </w:p>
    <w:p>
      <w:r>
        <w:t>Cuando: Guardar. Entonces: DENEGADO.</w:t>
      </w:r>
    </w:p>
    <w:p>
      <w:pPr>
        <w:pStyle w:val="Small"/>
      </w:pPr>
      <w:r>
        <w:t>Regla RE-PAR-07 · Historia HU-PAR-07.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CP-PAR-27 / QA-PAR-27</w:t>
      </w:r>
    </w:p>
    <w:p>
      <w:r>
        <w:t>Dado: Cliente cambia responsable de mantenimiento. Fixture FX-PAR-27.</w:t>
      </w:r>
    </w:p>
    <w:p>
      <w:r>
        <w:t>Cuando: Asignar nuevo owner. Entonces: Cambio auditado; provenance original intacto.</w:t>
      </w:r>
    </w:p>
    <w:p>
      <w:pPr>
        <w:pStyle w:val="Small"/>
      </w:pPr>
      <w:r>
        <w:t>Regla RE-PAR-07 · Historia HU-PAR-07.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CP-PAR-28 / QA-PAR-28</w:t>
      </w:r>
    </w:p>
    <w:p>
      <w:r>
        <w:t>Dado: Partner elimina su borrador compartido. Fixture FX-PAR-28.</w:t>
      </w:r>
    </w:p>
    <w:p>
      <w:r>
        <w:t>Cuando: Consultar versión instalada. Entonces: Versión publicada instalada preservada.</w:t>
      </w:r>
    </w:p>
    <w:p>
      <w:pPr>
        <w:pStyle w:val="Small"/>
      </w:pPr>
      <w:r>
        <w:t>Regla RE-PAR-07 · Historia HU-PAR-07.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2"/>
      </w:pPr>
      <w:r>
        <w:t>Casos de RE-PAR-08 · Publicación futura</w:t>
      </w:r>
    </w:p>
    <w:p>
      <w:pPr>
        <w:pStyle w:val="Heading3"/>
      </w:pPr>
      <w:r>
        <w:t>CP-PAR-29 / QA-PAR-29</w:t>
      </w:r>
    </w:p>
    <w:p>
      <w:r>
        <w:t>Dado: Plantilla lista para distribución. Fixture FX-PAR-29.</w:t>
      </w:r>
    </w:p>
    <w:p>
      <w:r>
        <w:t>Cuando: Marcar catalog-ready. Entonces: Metadata completa sin checkout.</w:t>
      </w:r>
    </w:p>
    <w:p>
      <w:pPr>
        <w:pStyle w:val="Small"/>
      </w:pPr>
      <w:r>
        <w:t>Regla RE-PAR-08 · Historia HU-PAR-08.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CP-PAR-30 / QA-PAR-30</w:t>
      </w:r>
    </w:p>
    <w:p>
      <w:r>
        <w:t>Dado: Partner configura precio sin capacidad marketplace. Fixture FX-PAR-30.</w:t>
      </w:r>
    </w:p>
    <w:p>
      <w:r>
        <w:t>Cuando: Guardar. Entonces: Dato dormante; no generar cargos.</w:t>
      </w:r>
    </w:p>
    <w:p>
      <w:pPr>
        <w:pStyle w:val="Small"/>
      </w:pPr>
      <w:r>
        <w:t>Regla RE-PAR-08 · Historia HU-PAR-08.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CP-PAR-31 / QA-PAR-31</w:t>
      </w:r>
    </w:p>
    <w:p>
      <w:r>
        <w:t>Dado: Plantilla sin evidencia de pruebas. Fixture FX-PAR-31.</w:t>
      </w:r>
    </w:p>
    <w:p>
      <w:r>
        <w:t>Cuando: Marcar catalog-ready. Entonces: BLOQUEADA.</w:t>
      </w:r>
    </w:p>
    <w:p>
      <w:pPr>
        <w:pStyle w:val="Small"/>
      </w:pPr>
      <w:r>
        <w:t>Regla RE-PAR-08 · Historia HU-PAR-08. Evidencia: respuesta/estado y referencia del recurso; antes/después o ausencia de mutación cuando se deniega. Automatizar integración; añadir unitario para regla pura y UI/E2E si la acción es visible.</w:t>
      </w:r>
    </w:p>
    <w:p>
      <w:pPr>
        <w:pStyle w:val="Heading3"/>
      </w:pPr>
      <w:r>
        <w:t>CP-PAR-32 / QA-PAR-32</w:t>
      </w:r>
    </w:p>
    <w:p>
      <w:r>
        <w:t>Dado: Provenance ausente. Fixture FX-PAR-32.</w:t>
      </w:r>
    </w:p>
    <w:p>
      <w:r>
        <w:t>Cuando: Solicitar publicación futura. Entonces: BLOQUEADA hasta completar origen.</w:t>
      </w:r>
    </w:p>
    <w:p>
      <w:pPr>
        <w:pStyle w:val="Small"/>
      </w:pPr>
      <w:r>
        <w:t>Regla RE-PAR-08 · Historia HU-PAR-08. Evidencia: respuesta/estado y referencia del recurso; antes/después o ausencia de mutación cuando se deniega. Automatizar integración; añadir unitario para regla pura y UI/E2E si la acción es visible.</w:t>
      </w:r>
    </w:p>
    <w:p>
      <w:bookmarkStart w:id="13" w:name="s13"/>
      <w:pPr>
        <w:pStyle w:val="Heading1"/>
      </w:pPr>
      <w:r>
        <w:t>N3.12 Historias y criterios de aceptación</w:t>
      </w:r>
      <w:bookmarkEnd w:id="13"/>
    </w:p>
    <w:p>
      <w:r>
        <w:t>Cada historia corresponde a una regla RE y sus cuatro escenarios; esas referencias aportan criterios Given/When/Then completos sin reescribirlos de forma genérica. El split adicional por pantalla o integración mantiene el mismo N3 y no elimina pruebas.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500"/>
        <w:gridCol w:w="5800"/>
        <w:gridCol w:w="2060"/>
      </w:tblGrid>
      <w:tr>
        <w:trPr>
          <w:cantSplit/>
          <w:tblHeader/>
        </w:trPr>
        <w:tc>
          <w:tcPr>
            <w:tcW w:type="dxa" w:w="15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Historia</w:t>
            </w:r>
          </w:p>
        </w:tc>
        <w:tc>
          <w:tcPr>
            <w:tcW w:type="dxa" w:w="5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Necesidad y criterio</w:t>
            </w:r>
          </w:p>
        </w:tc>
        <w:tc>
          <w:tcPr>
            <w:tcW w:type="dxa" w:w="2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Casos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HU-PAR-01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Partner Admin, quiero lista de clientes autorizada para la lista se deriva de grants activos; no mostrar clientes históricos revocados como si siguieran accesibles.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CP/QA-PAR-01 a 04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HU-PAR-02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Partner Admin, quiero contexto inequívoco para cada acción muestra y valida tenant cliente.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CP/QA-PAR-05 a 08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HU-PAR-03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Partner Admin, quiero instalación y adaptación para instalar base autorizada conserva fuente, versión y owner; cambios del cliente quedan como fork/overlay explícito.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CP/QA-PAR-09 a 12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HU-PAR-04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Partner Admin, quiero aceptación de implantación para cliente valida fixture y alcance antes de activar configuración.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CP/QA-PAR-13 a 16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HU-PAR-05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Partner Admin, quiero asignación de consultores para delegar dentro de scopes concedidos; un administrador de partner no amplía el alcance del grant cliente.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CP/QA-PAR-17 a 20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HU-PAR-06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Partner Admin, quiero métricas de productividad para medir tiempos y calidad por implantación autorizada; no revelar costos o documentos de clientes a otros clientes.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CP/QA-PAR-21 a 24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HU-PAR-07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Partner Admin, quiero retiro y continuidad para revocar partner no detiene plantillas ya publicadas por el cliente.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CP/QA-PAR-25 a 28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TableText"/>
            </w:pPr>
            <w:r>
              <w:t>HU-PAR-08</w:t>
            </w:r>
          </w:p>
        </w:tc>
        <w:tc>
          <w:tcPr>
            <w:tcW w:type="dxa" w:w="5800"/>
            <w:vAlign w:val="top"/>
          </w:tcPr>
          <w:p>
            <w:pPr>
              <w:pStyle w:val="TableText"/>
            </w:pPr>
            <w:r>
              <w:t>Como Partner Admin, quiero publicación futura para preparar metadata catalog-ready sin activar cobros de marketplace en mvp1.</w:t>
            </w:r>
          </w:p>
        </w:tc>
        <w:tc>
          <w:tcPr>
            <w:tcW w:type="dxa" w:w="2060"/>
            <w:vAlign w:val="top"/>
          </w:tcPr>
          <w:p>
            <w:pPr>
              <w:pStyle w:val="TableText"/>
            </w:pPr>
            <w:r>
              <w:t>CP/QA-PAR-29 a 32</w:t>
            </w:r>
          </w:p>
        </w:tc>
      </w:tr>
    </w:tbl>
    <w:p>
      <w:pPr>
        <w:pStyle w:val="Small"/>
      </w:pPr>
    </w:p>
    <w:p>
      <w:bookmarkStart w:id="14" w:name="s14"/>
      <w:pPr>
        <w:pStyle w:val="Heading1"/>
      </w:pPr>
      <w:r>
        <w:t>N3.13 QA automatizado y SPR083</w:t>
      </w:r>
      <w:bookmarkEnd w:id="14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7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Cobertura / responsable / gate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Unitario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Comparadores, umbrales y validaciones RE; Desarrollo; cada build.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Integración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Todos los QA-PAR; persistencia, auth y efectos; Desarrollo + QA; candidato.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UI/E2E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Acciones visibles de CP y recorrido de módulo; QA Automation + Desarrollo; piloto.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Regresión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Suite core y contratos IAM, STU, GOV, CAN; QA; sin pérdida de cobertura.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TableText"/>
            </w:pPr>
            <w:r>
              <w:t>Históricos / carga</w:t>
            </w:r>
          </w:p>
        </w:tc>
        <w:tc>
          <w:tcPr>
            <w:tcW w:type="dxa" w:w="7360"/>
            <w:vAlign w:val="top"/>
          </w:tcPr>
          <w:p>
            <w:pPr>
              <w:pStyle w:val="TableText"/>
            </w:pPr>
            <w:r>
              <w:t>Versiones previas, replay y concurrencia definidos en CP; QA/SRE; release.</w:t>
            </w:r>
          </w:p>
        </w:tc>
      </w:tr>
    </w:tbl>
    <w:p>
      <w:pPr>
        <w:pStyle w:val="Small"/>
      </w:pPr>
    </w:p>
    <w:p>
      <w:r>
        <w:t>SPR083 es la referencia de disciplina QA del programa. No se ha creado un ticket ni se afirma que la suite exista en el repositorio. Integración obligatoria usa NEXTDOCS_PRUEBA_OBLIGATORIA=true cuando aplica al stack reportado.</w:t>
      </w:r>
    </w:p>
    <w:p>
      <w:bookmarkStart w:id="15" w:name="s15"/>
      <w:pPr>
        <w:pStyle w:val="Heading1"/>
      </w:pPr>
      <w:r>
        <w:t>N3.14 Diseño de cada caso QA</w:t>
      </w:r>
      <w:bookmarkEnd w:id="15"/>
    </w:p>
    <w:p>
      <w:pPr>
        <w:pStyle w:val="ListBullet"/>
      </w:pPr>
      <w:r>
        <w:t>Preparar tenant A/B, rol y estado indicados en FX; registrar versión de configuración usada.</w:t>
      </w:r>
    </w:p>
    <w:p>
      <w:pPr>
        <w:pStyle w:val="ListBullet"/>
      </w:pPr>
      <w:r>
        <w:t>Ejecutar la acción When una vez; para duplicados/concurrencia, reproducir el número y orden indicado en CP.</w:t>
      </w:r>
    </w:p>
    <w:p>
      <w:pPr>
        <w:pStyle w:val="ListBullet"/>
      </w:pPr>
      <w:r>
        <w:t>Comprobar el resultado Then en respuesta, persistencia y UI cuando corresponda; verificar también que no exista el efecto prohibido.</w:t>
      </w:r>
    </w:p>
    <w:p>
      <w:pPr>
        <w:pStyle w:val="ListBullet"/>
      </w:pPr>
      <w:r>
        <w:t>Capturar QA ID, build, entorno, tiempos y resource_ref; adjuntar logs sin secretos y screenshot cuando UI sea parte del caso.</w:t>
      </w:r>
    </w:p>
    <w:p>
      <w:pPr>
        <w:pStyle w:val="ListBullet"/>
      </w:pPr>
      <w:r>
        <w:t>Restablecer fixture aislado antes del siguiente test; nunca borrar datos productivos para reset.</w:t>
      </w:r>
    </w:p>
    <w:p>
      <w:r>
        <w:t>La matriz QA_MAESTRA_V11 identifica precondición, acción, resultado, historia, regla y fixture de los 544 casos. No es un reporte de pruebas aprobadas.</w:t>
      </w:r>
    </w:p>
    <w:p>
      <w:bookmarkStart w:id="16" w:name="s16"/>
      <w:pPr>
        <w:pStyle w:val="Heading1"/>
      </w:pPr>
      <w:r>
        <w:t>N3.15 Fixtures y ambientes</w:t>
      </w:r>
      <w:bookmarkEnd w:id="16"/>
    </w:p>
    <w:p>
      <w:r>
        <w:t>FX-PAR-01 a 32 corresponden uno a uno a las precondiciones de N3.11. Las referencias de ejemplo son sintéticas; el equipo materializa entidades con factories/seeders del repositorio y conserva el fixture versionado.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50"/>
        <w:gridCol w:w="7410"/>
      </w:tblGrid>
      <w:tr>
        <w:trPr>
          <w:cantSplit/>
          <w:tblHeader/>
        </w:trPr>
        <w:tc>
          <w:tcPr>
            <w:tcW w:type="dxa" w:w="19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74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Preparación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Tenants y roles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A autorizado, B aislado; usuario lector, operador y administrador; grants activos/expirados según CP.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Reloj y versiones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Reloj fijo en UTC y zona tenant; versiones v1/v2; no usar fecha corriente para pruebas de TTL.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Servicios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Infra real de integración reportada; stubs para proveedores externos, pagos, firma y fallos controlados.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Datos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Separar sintéticos, reales autorizados y gold corpus etiquetado. Los CP de calidad no usan respuestas IA no deterministas como única aserción.</w:t>
            </w:r>
          </w:p>
        </w:tc>
      </w:tr>
      <w:tr>
        <w:trPr>
          <w:cantSplit/>
        </w:trPr>
        <w:tc>
          <w:tcPr>
            <w:tcW w:type="dxa" w:w="1950"/>
            <w:vAlign w:val="top"/>
          </w:tcPr>
          <w:p>
            <w:pPr>
              <w:pStyle w:val="TableText"/>
            </w:pPr>
            <w:r>
              <w:t>Reset</w:t>
            </w:r>
          </w:p>
        </w:tc>
        <w:tc>
          <w:tcPr>
            <w:tcW w:type="dxa" w:w="7410"/>
            <w:vAlign w:val="top"/>
          </w:tcPr>
          <w:p>
            <w:pPr>
              <w:pStyle w:val="TableText"/>
            </w:pPr>
            <w:r>
              <w:t>Eliminar sólo espacio de prueba identificado por run_ref; reiniciar colas/objetos del fixture y verificar aislamiento.</w:t>
            </w:r>
          </w:p>
        </w:tc>
      </w:tr>
    </w:tbl>
    <w:p>
      <w:pPr>
        <w:pStyle w:val="Small"/>
      </w:pPr>
    </w:p>
    <w:p>
      <w:bookmarkStart w:id="17" w:name="s17"/>
      <w:pPr>
        <w:pStyle w:val="Heading1"/>
      </w:pPr>
      <w:r>
        <w:t>N3.16 UX/UI y prototipos</w:t>
      </w:r>
      <w:bookmarkEnd w:id="17"/>
    </w:p>
    <w:p>
      <w:r>
        <w:t>Nuevo workspace con selector de cliente, permisos visibles y registro de implantación.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Comportamiento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Entrada / salida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Seleccionar cliente → Medir implantación; conservar contexto y recurso al navegar.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Acción primaria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Lista de clientes autorizada con permiso y estado vigente; confirmar sólo tras persistencia.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Acciones secundarias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Consultar evidencia, volver a lista, reintentar si recuperable; cancelar sólo con permiso/motivo.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Empty / loading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Explicar ausencia y siguiente acción; mostrar procesamiento con referencia, no resultado ficticio.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Error / success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Error con causa y recuperación; éxito con estado real y enlace al recurso.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Filtros / columnas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Tenant contextual, fecha, estado, responsable y referencia; orden estable; perfiles por rol sin ampliar permisos.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Responsive / accesibilidad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Teclado, foco, contraste y etiqueta textual; móvil con acciones visibles; no color como única información.</w:t>
            </w:r>
          </w:p>
        </w:tc>
      </w:tr>
    </w:tbl>
    <w:p>
      <w:pPr>
        <w:pStyle w:val="Small"/>
      </w:pPr>
    </w:p>
    <w:p>
      <w:r>
        <w:t>Figma define antes/después para revamp y flujo completo para nuevo desarrollo. Figma Make puede prototipar navegación sin imponer implementación. No se entrega un diseño Figma creado ni enlaces inventados. Mensajes base: “No tenés permiso para esta acción”, “El recurso cambió; revisá la versión actual”, “No se pudo completar; conservamos tu solicitud para revisión”.</w:t>
      </w:r>
    </w:p>
    <w:p>
      <w:bookmarkStart w:id="18" w:name="s18"/>
      <w:pPr>
        <w:pStyle w:val="Heading1"/>
      </w:pPr>
      <w:r>
        <w:t>N3.17 Análisis con Devin</w:t>
      </w:r>
      <w:bookmarkEnd w:id="18"/>
    </w:p>
    <w:p>
      <w:r>
        <w:t>Devin se utiliza sólo para analizar documentación, sistema y brechas: localizar comportamiento PAR, confirmar estado reportado, mapear entidades y pruebas existentes, identificar reutilización y cambios mínimos. Salida esperada: correspondencia regla → código/test existente o tarea nueva, con evidencia del repositorio. No tratar una descripción documental como comprobación del build.</w:t>
      </w:r>
    </w:p>
    <w:p>
      <w:bookmarkStart w:id="19" w:name="s19"/>
      <w:pPr>
        <w:pStyle w:val="Heading1"/>
      </w:pPr>
      <w:r>
        <w:t>N3.18 Guía CTO, Jira y estimación</w:t>
      </w:r>
      <w:bookmarkEnd w:id="19"/>
    </w:p>
    <w:p>
      <w:r>
        <w:t>Crear ocho historias documentales HU-PAR-01 a 08. Cada una enlaza su RE, cuatro CP y cuatro QA; subtareas sugeridas: comportamiento/persistencia, UX si aplica y automatización. No fijar puntos como compromiso sin revisar código.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Complejidad</w:t>
            </w:r>
          </w:p>
        </w:tc>
        <w:tc>
          <w:tcPr>
            <w:tcW w:type="dxa" w:w="7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 de estimación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1–3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Ajuste aislado con regla conocida, sin nueva integración y regresión acotada.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5–8 puntos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Flujo con estado, permiso, interfaz o contrato; requiere integración y fixtures.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13 o más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Dividir antes del sprint si combina varios journeys, migración o dependencias externas.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TableText"/>
            </w:pPr>
            <w:r>
              <w:t>Spike</w:t>
            </w:r>
          </w:p>
        </w:tc>
        <w:tc>
          <w:tcPr>
            <w:tcW w:type="dxa" w:w="7460"/>
            <w:vAlign w:val="top"/>
          </w:tcPr>
          <w:p>
            <w:pPr>
              <w:pStyle w:val="TableText"/>
            </w:pPr>
            <w:r>
              <w:t>Reservar sólo para incógnita técnica concreta; cerrar con decisión y evidencia, no reemplazar el N3.</w:t>
            </w:r>
          </w:p>
        </w:tc>
      </w:tr>
    </w:tbl>
    <w:p>
      <w:pPr>
        <w:pStyle w:val="Small"/>
      </w:pPr>
    </w:p>
    <w:p>
      <w:bookmarkStart w:id="20" w:name="s20"/>
      <w:pPr>
        <w:pStyle w:val="Heading1"/>
      </w:pPr>
      <w:r>
        <w:t>N3.19 Definition of Ready y Done</w:t>
      </w:r>
      <w:bookmarkEnd w:id="20"/>
    </w:p>
    <w:p>
      <w:pPr>
        <w:pStyle w:val="ListBullet"/>
      </w:pPr>
      <w:r>
        <w:t>Ready: alcance y RE revisados; CP aplicables completos; contratos físicos confirmados; UX y fixtures preparados; owner y prioridad asignados.</w:t>
      </w:r>
    </w:p>
    <w:p>
      <w:pPr>
        <w:pStyle w:val="ListBullet"/>
      </w:pPr>
      <w:r>
        <w:t>Done: CP/QA ejecutados; regresión protegida; datos/estados/audit coherentes; UX revisada; no bloqueantes; documentación y ticket con evidencia.</w:t>
      </w:r>
    </w:p>
    <w:p>
      <w:pPr>
        <w:pStyle w:val="ListBullet"/>
      </w:pPr>
      <w:r>
        <w:t>No cerrar por número de páginas, número de tests o compilación: debe demostrarse el resultado funcional de cada criterio.</w:t>
      </w:r>
    </w:p>
    <w:p>
      <w:bookmarkStart w:id="21" w:name="s21"/>
      <w:pPr>
        <w:pStyle w:val="Heading1"/>
      </w:pPr>
      <w:r>
        <w:t>N3.20 Riesgos, bloqueos y decisiones</w:t>
      </w:r>
      <w:bookmarkEnd w:id="21"/>
    </w:p>
    <w:p>
      <w:r>
        <w:t>Relación comercial no reemplaza autorización del cliente ni permite usar datos entre tenants.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Decisión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Responsable / momento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Mapeo a contratos y estados existentes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CTO + Desarrollo; antes de implementar. No modificar contratos productivos por etiqueta documental.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Políticas/umbrales tenant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PO + Operación; antes del piloto. Fixtures no son valores productivos.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UX y automatización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UX + QA; antes de pasar historia a Ready.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Evidencia de cierre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QA + PO + CTO; antes del gate correspondiente.</w:t>
            </w:r>
          </w:p>
        </w:tc>
      </w:tr>
    </w:tbl>
    <w:p>
      <w:pPr>
        <w:pStyle w:val="Small"/>
      </w:pPr>
    </w:p>
    <w:p>
      <w:bookmarkStart w:id="22" w:name="s22"/>
      <w:pPr>
        <w:pStyle w:val="Heading1"/>
      </w:pPr>
      <w:r>
        <w:t>N3.21 Anexo sugerido a Sistemas</w:t>
      </w:r>
      <w:bookmarkEnd w:id="22"/>
    </w:p>
    <w:p>
      <w:r>
        <w:t>Diseño técnico por completar al contrastar repositorio: interfaces físicas, persistencia, migraciones, colas, retries, observabilidad y rollback. Mantener contratos existentes cuando sean suficientes. Este apartado no obliga lenguaje, endpoints o microservicios nuevos.</w:t>
      </w:r>
    </w:p>
    <w:p>
      <w:r>
        <w:t>Para módulos del core conservar la infraestructura reportada: PostgreSQL, Redis, MinIO y Keycloak; extracción Gemini con respaldo DeepSeek. Versiones, nombres de servicio, comandos de despliegue y rutas reales deben provenir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N3-MVP1-V11-PAR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N3-MVP1-V11-PAR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