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N3-MVP2-V11-MKT</w:t>
      </w:r>
    </w:p>
    <w:p>
      <w:pPr>
        <w:pStyle w:val="Title"/>
      </w:pPr>
      <w:r>
        <w:t>Catálogo, certificación y economía Marketplace</w:t>
      </w:r>
    </w:p>
    <w:p>
      <w:pPr>
        <w:pStyle w:val="Subtitle"/>
      </w:pPr>
      <w:r>
        <w:t>Detalle funcional por módulo · 32 casos verificables · Reglas, QA y cierre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N3.0 Ficha documental</w:t>
        </w:r>
      </w:hyperlink>
    </w:p>
    <w:p>
      <w:pPr>
        <w:pStyle w:val="Small"/>
      </w:pPr>
      <w:hyperlink w:anchor="s2">
        <w:r>
          <w:rPr>
            <w:color w:val="6639B7"/>
          </w:rPr>
          <w:t>N3.1 Resumen ejecutivo funcional</w:t>
        </w:r>
      </w:hyperlink>
    </w:p>
    <w:p>
      <w:pPr>
        <w:pStyle w:val="Small"/>
      </w:pPr>
      <w:hyperlink w:anchor="s3">
        <w:r>
          <w:rPr>
            <w:color w:val="6639B7"/>
          </w:rPr>
          <w:t>N3.2 Contexto mínimo heredado</w:t>
        </w:r>
      </w:hyperlink>
    </w:p>
    <w:p>
      <w:pPr>
        <w:pStyle w:val="Small"/>
      </w:pPr>
      <w:hyperlink w:anchor="s4">
        <w:r>
          <w:rPr>
            <w:color w:val="6639B7"/>
          </w:rPr>
          <w:t>N3.3 Objetivo funcional exacto</w:t>
        </w:r>
      </w:hyperlink>
    </w:p>
    <w:p>
      <w:pPr>
        <w:pStyle w:val="Small"/>
      </w:pPr>
      <w:hyperlink w:anchor="s5">
        <w:r>
          <w:rPr>
            <w:color w:val="6639B7"/>
          </w:rPr>
          <w:t>N3.4 Alcance y dependencias</w:t>
        </w:r>
      </w:hyperlink>
    </w:p>
    <w:p>
      <w:pPr>
        <w:pStyle w:val="Small"/>
      </w:pPr>
      <w:hyperlink w:anchor="s6">
        <w:r>
          <w:rPr>
            <w:color w:val="6639B7"/>
          </w:rPr>
          <w:t>N3.5 Mapa funcional de extremo a extremo</w:t>
        </w:r>
      </w:hyperlink>
    </w:p>
    <w:p>
      <w:pPr>
        <w:pStyle w:val="Small"/>
      </w:pPr>
      <w:hyperlink w:anchor="s7">
        <w:r>
          <w:rPr>
            <w:color w:val="6639B7"/>
          </w:rPr>
          <w:t>N3.6 Reglas generales comentadas</w:t>
        </w:r>
      </w:hyperlink>
    </w:p>
    <w:p>
      <w:pPr>
        <w:pStyle w:val="Small"/>
      </w:pPr>
      <w:hyperlink w:anchor="s8">
        <w:r>
          <w:rPr>
            <w:color w:val="6639B7"/>
          </w:rPr>
          <w:t>N3.7 Reglas específicas del módulo</w:t>
        </w:r>
      </w:hyperlink>
    </w:p>
    <w:p>
      <w:pPr>
        <w:pStyle w:val="Small"/>
      </w:pPr>
      <w:hyperlink w:anchor="s9">
        <w:r>
          <w:rPr>
            <w:color w:val="6639B7"/>
          </w:rPr>
          <w:t>N3.8 Datos, entidades y campos</w:t>
        </w:r>
      </w:hyperlink>
    </w:p>
    <w:p>
      <w:pPr>
        <w:pStyle w:val="Small"/>
      </w:pPr>
      <w:hyperlink w:anchor="s10">
        <w:r>
          <w:rPr>
            <w:color w:val="6639B7"/>
          </w:rPr>
          <w:t>N3.9 Estados y transiciones</w:t>
        </w:r>
      </w:hyperlink>
    </w:p>
    <w:p>
      <w:pPr>
        <w:pStyle w:val="Small"/>
      </w:pPr>
      <w:hyperlink w:anchor="s11">
        <w:r>
          <w:rPr>
            <w:color w:val="6639B7"/>
          </w:rPr>
          <w:t>N3.10 Casos generales de negocio</w:t>
        </w:r>
      </w:hyperlink>
    </w:p>
    <w:p>
      <w:pPr>
        <w:pStyle w:val="Small"/>
      </w:pPr>
      <w:hyperlink w:anchor="s12">
        <w:r>
          <w:rPr>
            <w:color w:val="6639B7"/>
          </w:rPr>
          <w:t>N3.11 Casos particulares y pruebas específicas</w:t>
        </w:r>
      </w:hyperlink>
    </w:p>
    <w:p>
      <w:pPr>
        <w:pStyle w:val="Small"/>
      </w:pPr>
      <w:hyperlink w:anchor="s13">
        <w:r>
          <w:rPr>
            <w:color w:val="6639B7"/>
          </w:rPr>
          <w:t>N3.12 Historias y criterios de aceptación</w:t>
        </w:r>
      </w:hyperlink>
    </w:p>
    <w:p>
      <w:pPr>
        <w:pStyle w:val="Small"/>
      </w:pPr>
      <w:hyperlink w:anchor="s14">
        <w:r>
          <w:rPr>
            <w:color w:val="6639B7"/>
          </w:rPr>
          <w:t>N3.13 QA automatizado y SPR083</w:t>
        </w:r>
      </w:hyperlink>
    </w:p>
    <w:p>
      <w:pPr>
        <w:pStyle w:val="Small"/>
      </w:pPr>
      <w:hyperlink w:anchor="s15">
        <w:r>
          <w:rPr>
            <w:color w:val="6639B7"/>
          </w:rPr>
          <w:t>N3.14 Diseño de cada caso QA</w:t>
        </w:r>
      </w:hyperlink>
    </w:p>
    <w:p>
      <w:pPr>
        <w:pStyle w:val="Small"/>
      </w:pPr>
      <w:hyperlink w:anchor="s16">
        <w:r>
          <w:rPr>
            <w:color w:val="6639B7"/>
          </w:rPr>
          <w:t>N3.15 Fixtures y ambientes</w:t>
        </w:r>
      </w:hyperlink>
    </w:p>
    <w:p>
      <w:pPr>
        <w:pStyle w:val="Small"/>
      </w:pPr>
      <w:hyperlink w:anchor="s17">
        <w:r>
          <w:rPr>
            <w:color w:val="6639B7"/>
          </w:rPr>
          <w:t>N3.16 UX/UI y prototipos</w:t>
        </w:r>
      </w:hyperlink>
    </w:p>
    <w:p>
      <w:pPr>
        <w:pStyle w:val="Small"/>
      </w:pPr>
      <w:hyperlink w:anchor="s18">
        <w:r>
          <w:rPr>
            <w:color w:val="6639B7"/>
          </w:rPr>
          <w:t>N3.17 Análisis con Devin</w:t>
        </w:r>
      </w:hyperlink>
    </w:p>
    <w:p>
      <w:pPr>
        <w:pStyle w:val="Small"/>
      </w:pPr>
      <w:hyperlink w:anchor="s19">
        <w:r>
          <w:rPr>
            <w:color w:val="6639B7"/>
          </w:rPr>
          <w:t>N3.18 Guía CTO, Jira y estimación</w:t>
        </w:r>
      </w:hyperlink>
    </w:p>
    <w:p>
      <w:pPr>
        <w:pStyle w:val="Small"/>
      </w:pPr>
      <w:hyperlink w:anchor="s20">
        <w:r>
          <w:rPr>
            <w:color w:val="6639B7"/>
          </w:rPr>
          <w:t>N3.19 Definition of Ready y Done</w:t>
        </w:r>
      </w:hyperlink>
    </w:p>
    <w:p>
      <w:pPr>
        <w:pStyle w:val="Small"/>
      </w:pPr>
      <w:hyperlink w:anchor="s21">
        <w:r>
          <w:rPr>
            <w:color w:val="6639B7"/>
          </w:rPr>
          <w:t>N3.20 Riesgos, bloqueos y decisiones</w:t>
        </w:r>
      </w:hyperlink>
    </w:p>
    <w:p>
      <w:pPr>
        <w:pStyle w:val="Small"/>
      </w:pPr>
      <w:hyperlink w:anchor="s22">
        <w:r>
          <w:rPr>
            <w:color w:val="6639B7"/>
          </w:rPr>
          <w:t>N3.21 Anexo sugerido a Sistemas</w:t>
        </w:r>
      </w:hyperlink>
    </w:p>
    <w:p>
      <w:bookmarkStart w:id="1" w:name="s1"/>
      <w:pPr>
        <w:pStyle w:val="Heading1"/>
      </w:pPr>
      <w:r>
        <w:t>N3.0 Ficha documental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MVP / Epic documental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2 · Marketplace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 de implementación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Unidad desarrollable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Ocho historias funcionales HU-MKT-01 a 08; cada una usa la sección de reglas y los cuatro CP/QA asociados de este N3.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Responsables de lectura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Publisher, Marketplace Admin, Comprador, Finanzas; Programador, QA Automation, UX, CTO, PO y Scrum.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Padres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N0-V11-SISTEMA; N1-MVP2-V11-PRD; N2-MVP2-V11-MKT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N3.1 Resumen ejecutivo funcional</w:t>
      </w:r>
      <w:bookmarkEnd w:id="2"/>
    </w:p>
    <w:p>
      <w:r>
        <w:t>Publicar ofertas certificadas, licencias y liquidaciones trazables sin acoplar el runtime documental al cobro.</w:t>
      </w:r>
    </w:p>
    <w:p>
      <w:r>
        <w:t>CONSTRUIR. Monetización no se activa en MVP0/1. Precios e impuestos son políticas comerciales a parametrizar, no cifras inventadas.</w:t>
      </w:r>
    </w:p>
    <w:p>
      <w:r>
        <w:t>El módulo se divide por reglas de negocio observables, no por capas técnicas. Una regla con interfaz y persistencia se cierra sólo cuando ambos resultados y sus pruebas están completos. Los criterios siguientes evitan que un título de historia sustituya al comportamiento esperado.</w:t>
      </w:r>
    </w:p>
    <w:p>
      <w:bookmarkStart w:id="3" w:name="s3"/>
      <w:pPr>
        <w:pStyle w:val="Heading1"/>
      </w:pPr>
      <w:r>
        <w:t>N3.2 Contexto mínimo heredado</w:t>
      </w:r>
      <w:bookmarkEnd w:id="3"/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r>
        <w:t>Dependencias de contrato: PAR, STU, IAM, GOV. Estas referencias describen servicios funcionales; no imponen microservicios separados. La matriz de interconexión distingue contrato de datos y orden de construcción.</w:t>
      </w:r>
    </w:p>
    <w:p>
      <w:bookmarkStart w:id="4" w:name="s4"/>
      <w:pPr>
        <w:pStyle w:val="Heading1"/>
      </w:pPr>
      <w:r>
        <w:t>N3.3 Objetivo funcional exacto</w:t>
      </w:r>
      <w:bookmarkEnd w:id="4"/>
    </w:p>
    <w:p>
      <w:r>
        <w:t>Publicar ofertas certificadas, licencias y liquidaciones trazables sin acoplar el runtime documental al cobro.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observable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Visible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Nuevo catálogo y consola de publisher; precios y alcance claros antes de compra.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Registrado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Recurso del módulo, estado final, actor, tenant, fecha, versión y motivo; salida de cada CP comprobable.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Éxito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32 casos CP/QA con resultado documentado; bloqueantes resueltos; regresión de dependencias sin degradación.</w:t>
            </w:r>
          </w:p>
        </w:tc>
      </w:tr>
    </w:tbl>
    <w:p>
      <w:pPr>
        <w:pStyle w:val="Small"/>
      </w:pPr>
    </w:p>
    <w:p>
      <w:bookmarkStart w:id="5" w:name="s5"/>
      <w:pPr>
        <w:pStyle w:val="Heading1"/>
      </w:pPr>
      <w:r>
        <w:t>N3.4 Alcance y dependencias</w:t>
      </w:r>
      <w:bookmarkEnd w:id="5"/>
    </w:p>
    <w:p>
      <w:pPr>
        <w:pStyle w:val="ListBullet"/>
      </w:pPr>
      <w:r>
        <w:t>Publisher verificado</w:t>
      </w:r>
    </w:p>
    <w:p>
      <w:pPr>
        <w:pStyle w:val="ListBullet"/>
      </w:pPr>
      <w:r>
        <w:t>Certificación por versión</w:t>
      </w:r>
    </w:p>
    <w:p>
      <w:pPr>
        <w:pStyle w:val="ListBullet"/>
      </w:pPr>
      <w:r>
        <w:t>Visibilidad del catálogo</w:t>
      </w:r>
    </w:p>
    <w:p>
      <w:pPr>
        <w:pStyle w:val="ListBullet"/>
      </w:pPr>
      <w:r>
        <w:t>Términos fijados</w:t>
      </w:r>
    </w:p>
    <w:p>
      <w:pPr>
        <w:pStyle w:val="ListBullet"/>
      </w:pPr>
      <w:r>
        <w:t>Pago y derecho separados</w:t>
      </w:r>
    </w:p>
    <w:p>
      <w:pPr>
        <w:pStyle w:val="ListBullet"/>
      </w:pPr>
      <w:r>
        <w:t>Licencias vigentes</w:t>
      </w:r>
    </w:p>
    <w:p>
      <w:pPr>
        <w:pStyle w:val="ListBullet"/>
      </w:pPr>
      <w:r>
        <w:t>Reparto y compensación</w:t>
      </w:r>
    </w:p>
    <w:p>
      <w:pPr>
        <w:pStyle w:val="ListBullet"/>
      </w:pPr>
      <w:r>
        <w:t>Conciliación y disputa</w:t>
      </w:r>
    </w:p>
    <w:p>
      <w:r>
        <w:t>Fuera de alcance: No modificar runtime documental por reglas de cobro; no borrar expedientes por vencimiento comercial.</w:t>
      </w:r>
    </w:p>
    <w:p>
      <w:r>
        <w:t>Negocio: aprobar configuración aplicable del tenant antes de activar. UX: Nuevo catálogo y consola de publisher; precios y alcance claros antes de compra.</w:t>
      </w:r>
    </w:p>
    <w:p>
      <w:r>
        <w:t>QA: usar fixtures FX-MKT-01 a 32, tenant A/B, permisos positivos/negativos y reloj controlado. Sistemas confirma contratos físicos y compatibilidad de migraciones antes de implementar.</w:t>
      </w:r>
    </w:p>
    <w:p>
      <w:bookmarkStart w:id="6" w:name="s6"/>
      <w:pPr>
        <w:pStyle w:val="Heading1"/>
      </w:pPr>
      <w:r>
        <w:t>N3.5 Mapa funcional de extremo a extremo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MKT: entrada, validación, salida y tratamiento de excepción. Las rutas específicas se precisan en RE y CP.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600"/>
        <w:gridCol w:w="3900"/>
        <w:gridCol w:w="4860"/>
      </w:tblGrid>
      <w:tr>
        <w:trPr>
          <w:cantSplit/>
          <w:tblHeader/>
        </w:trPr>
        <w:tc>
          <w:tcPr>
            <w:tcW w:type="dxa" w:w="6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3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y acción</w:t>
            </w:r>
          </w:p>
        </w:tc>
        <w:tc>
          <w:tcPr>
            <w:tcW w:type="dxa" w:w="48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/ evidencia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Publisher solicita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Publisher. Entrada: Listing. Salida: Identidad y pack del publisher.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Certificar pack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Publisher. Entrada: Identidad y pack del publisher. Salida: Resultado de revisión y certificación.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Publicar oferta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Publisher. Entrada: Resultado de revisión y certificación. Salida: Oferta versionada con términos.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Aceptar términos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Publisher. Entrada: Oferta versionada con términos. Salida: Consentimiento y pedido único.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Confirmar derecho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Publisher. Entrada: Consentimiento y pedido único. Salida: Entitlement confirmado por pago verificado. Evidencia: correlación, revisión, actor y resultado de la acción.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900"/>
            <w:vAlign w:val="top"/>
          </w:tcPr>
          <w:p>
            <w:pPr>
              <w:pStyle w:val="TableText"/>
            </w:pPr>
            <w:r>
              <w:t>Registrar reparto</w:t>
            </w:r>
          </w:p>
        </w:tc>
        <w:tc>
          <w:tcPr>
            <w:tcW w:type="dxa" w:w="4860"/>
            <w:vAlign w:val="top"/>
          </w:tcPr>
          <w:p>
            <w:pPr>
              <w:pStyle w:val="TableText"/>
            </w:pPr>
            <w:r>
              <w:t>Responsable: Publisher. Entrada: Entitlement confirmado por pago verificado. Salida: Asiento de reparto y conciliación. Evidencia: correlación, revisión, actor y resultado de la acción.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N3.6 Reglas generales comentadas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950"/>
        <w:gridCol w:w="8410"/>
      </w:tblGrid>
      <w:tr>
        <w:trPr>
          <w:cantSplit/>
          <w:tblHeader/>
        </w:trPr>
        <w:tc>
          <w:tcPr>
            <w:tcW w:type="dxa" w:w="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RG-01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Resolver tenant, identidad y permiso antes de leer o mutar recursos. La autorización del host no sustituye la autorización de NEXT.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RG-02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Conservar versión de definición, política, documento y evidencia usada en decisiones. No sobrescribir historia.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RG-03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Reintentos y concurrencia no repiten un efecto confirmado; clave de idempotencia y revisión de recurso deben comprobarse.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RG-04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No confirmar éxito antes de persistir resultado; errores muestran causa recuperable o denegación sin exponer datos ajenos.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RG-05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El contenido documental se trata como datos no confiables; no ejecuta instrucciones para cambiar permisos o políticas.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RG-06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La evidencia de aceptación se obtiene ejecutando casos. Estado funcional objetivo no significa implementación o prueba aprobada.</w:t>
            </w:r>
          </w:p>
        </w:tc>
      </w:tr>
    </w:tbl>
    <w:p>
      <w:pPr>
        <w:pStyle w:val="Small"/>
      </w:pPr>
    </w:p>
    <w:p>
      <w:r>
        <w:t>Razón operativa: estos controles protegen aislamiento, reproducción histórica y continuidad cuando varios actores o workers actúan sobre la misma entidad.</w:t>
      </w:r>
    </w:p>
    <w:p>
      <w:bookmarkStart w:id="8" w:name="s8"/>
      <w:pPr>
        <w:pStyle w:val="Heading1"/>
      </w:pPr>
      <w:r>
        <w:t>N3.7 Reglas específicas del módulo</w:t>
      </w:r>
      <w:bookmarkEnd w:id="8"/>
    </w:p>
    <w:p>
      <w:pPr>
        <w:pStyle w:val="Heading2"/>
      </w:pPr>
      <w:r>
        <w:t>RE-MKT-01 · Publisher verificado</w:t>
      </w:r>
    </w:p>
    <w:p>
      <w:r>
        <w:t>Publisher activo y propietario/licenciado del contenido puede solicitar certificación; declarar soporte y países aplicables.</w:t>
      </w:r>
    </w:p>
    <w:p>
      <w:pPr>
        <w:pStyle w:val="Small"/>
      </w:pPr>
      <w:r>
        <w:t>Validación: QA-MKT-01 a QA-MKT-04. La primera prueba confirma la ruta habilitada y las restantes ejercitan límites, alternativas o fallos concretos.</w:t>
      </w:r>
    </w:p>
    <w:p>
      <w:pPr>
        <w:pStyle w:val="Heading2"/>
      </w:pPr>
      <w:r>
        <w:t>RE-MKT-02 · Certificación por versión</w:t>
      </w:r>
    </w:p>
    <w:p>
      <w:r>
        <w:t>Certificar versión exacta con fixtures y dependencias. Edición posterior exige nueva revisión; insignia no cubre versiones diferentes.</w:t>
      </w:r>
    </w:p>
    <w:p>
      <w:pPr>
        <w:pStyle w:val="Small"/>
      </w:pPr>
      <w:r>
        <w:t>Validación: QA-MKT-05 a QA-MKT-08. La primera prueba confirma la ruta habilitada y las restantes ejercitan límites, alternativas o fallos concretos.</w:t>
      </w:r>
    </w:p>
    <w:p>
      <w:pPr>
        <w:pStyle w:val="Heading2"/>
      </w:pPr>
      <w:r>
        <w:t>RE-MKT-03 · Visibilidad del catálogo</w:t>
      </w:r>
    </w:p>
    <w:p>
      <w:r>
        <w:t>Catálogo público y privado aplican permisos y disponibilidad por tenant/país; buscador no filtra metadata de ofertas privadas.</w:t>
      </w:r>
    </w:p>
    <w:p>
      <w:pPr>
        <w:pStyle w:val="Small"/>
      </w:pPr>
      <w:r>
        <w:t>Validación: QA-MKT-09 a QA-MKT-12. La primera prueba confirma la ruta habilitada y las restantes ejercitan límites, alternativas o fallos concretos.</w:t>
      </w:r>
    </w:p>
    <w:p>
      <w:pPr>
        <w:pStyle w:val="Heading2"/>
      </w:pPr>
      <w:r>
        <w:t>RE-MKT-04 · Términos fijados</w:t>
      </w:r>
    </w:p>
    <w:p>
      <w:r>
        <w:t>Fijar precio, moneda, impuestos aplicables y versión de términos antes de confirmar. Cambio de precio requiere nueva aceptación.</w:t>
      </w:r>
    </w:p>
    <w:p>
      <w:pPr>
        <w:pStyle w:val="Small"/>
      </w:pPr>
      <w:r>
        <w:t>Validación: QA-MKT-13 a QA-MKT-16. La primera prueba confirma la ruta habilitada y las restantes ejercitan límites, alternativas o fallos concretos.</w:t>
      </w:r>
    </w:p>
    <w:p>
      <w:pPr>
        <w:pStyle w:val="Heading2"/>
      </w:pPr>
      <w:r>
        <w:t>RE-MKT-05 · Pago y derecho separados</w:t>
      </w:r>
    </w:p>
    <w:p>
      <w:r>
        <w:t>Sólo confirmación válida de pago o licencia gratuita aprobada genera entitlement. Timeout de pago no equivale a rechazo definitivo ni a éxito.</w:t>
      </w:r>
    </w:p>
    <w:p>
      <w:pPr>
        <w:pStyle w:val="Small"/>
      </w:pPr>
      <w:r>
        <w:t>Validación: QA-MKT-17 a QA-MKT-20. La primera prueba confirma la ruta habilitada y las restantes ejercitan límites, alternativas o fallos concretos.</w:t>
      </w:r>
    </w:p>
    <w:p>
      <w:pPr>
        <w:pStyle w:val="Heading2"/>
      </w:pPr>
      <w:r>
        <w:t>RE-MKT-06 · Licencias vigentes</w:t>
      </w:r>
    </w:p>
    <w:p>
      <w:r>
        <w:t>Licencia define tenant, versión/alcance y vigencia. Expirar licencia no borra documentos; afecta nuevos usos según términos aceptados.</w:t>
      </w:r>
    </w:p>
    <w:p>
      <w:pPr>
        <w:pStyle w:val="Small"/>
      </w:pPr>
      <w:r>
        <w:t>Validación: QA-MKT-21 a QA-MKT-24. La primera prueba confirma la ruta habilitada y las restantes ejercitan límites, alternativas o fallos concretos.</w:t>
      </w:r>
    </w:p>
    <w:p>
      <w:pPr>
        <w:pStyle w:val="Heading2"/>
      </w:pPr>
      <w:r>
        <w:t>RE-MKT-07 · Reparto y compensación</w:t>
      </w:r>
    </w:p>
    <w:p>
      <w:r>
        <w:t>Ledger inmutable con términos de reparto versionados. Reembolso genera movimiento compensatorio, no edición del ingreso original.</w:t>
      </w:r>
    </w:p>
    <w:p>
      <w:pPr>
        <w:pStyle w:val="Small"/>
      </w:pPr>
      <w:r>
        <w:t>Validación: QA-MKT-25 a QA-MKT-28. La primera prueba confirma la ruta habilitada y las restantes ejercitan límites, alternativas o fallos concretos.</w:t>
      </w:r>
    </w:p>
    <w:p>
      <w:pPr>
        <w:pStyle w:val="Heading2"/>
      </w:pPr>
      <w:r>
        <w:t>RE-MKT-08 · Conciliación y disputa</w:t>
      </w:r>
    </w:p>
    <w:p>
      <w:r>
        <w:t>Conciliar orden, pago, derecho y ledger; una diferencia queda en cola con owner. No instalar por simple recibo no validado.</w:t>
      </w:r>
    </w:p>
    <w:p>
      <w:pPr>
        <w:pStyle w:val="Small"/>
      </w:pPr>
      <w:r>
        <w:t>Validación: QA-MKT-29 a QA-MKT-32. La primera prueba confirma la ruta habilitada y las restantes ejercitan límites, alternativas o fallos concretos.</w:t>
      </w:r>
    </w:p>
    <w:p>
      <w:bookmarkStart w:id="9" w:name="s9"/>
      <w:pPr>
        <w:pStyle w:val="Heading1"/>
      </w:pPr>
      <w:r>
        <w:t>N3.8 Datos, entidades y campos</w:t>
      </w:r>
      <w:bookmarkEnd w:id="9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Origen, contenido y validación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Listing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Visibilidad, publisher, versión certificada, países y dependencias.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License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Derecho, tenant, alcance, vigencia y términos aceptados.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Order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Intención comercial, precio/moneda fijados y resultado de pago.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Ledger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Movimientos inmutables y compensaciones; reparto por términos versionados.</w:t>
            </w:r>
          </w:p>
        </w:tc>
      </w:tr>
    </w:tbl>
    <w:p>
      <w:pPr>
        <w:pStyle w:val="Small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 transversal</w:t>
            </w:r>
          </w:p>
        </w:tc>
        <w:tc>
          <w:tcPr>
            <w:tcW w:type="dxa" w:w="6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Obligatoriedad / validación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tenant_ref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Siempre; autorizado por IAM en la acción, no inferido de un nombre.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resource_ref + revision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 en mutaciones; revisión leída debe coincidir con la vigente.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correlation_ref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En ingreso y propagación; unir evento, job, resultado y audit.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reason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Obligatorio para corrección, rechazo, dispensa, cancelación y acceso excepcional.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effective_at / occurred_at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Instante servidor y fecha del hecho diferenciados; conservar zona para interpretación.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policy_version / definition_version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Cuando intervienen; fijadas en evaluación y reconstruibles.</w:t>
            </w:r>
          </w:p>
        </w:tc>
      </w:tr>
    </w:tbl>
    <w:p>
      <w:pPr>
        <w:pStyle w:val="Small"/>
      </w:pPr>
    </w:p>
    <w:p>
      <w:bookmarkStart w:id="10" w:name="s10"/>
      <w:pPr>
        <w:pStyle w:val="Heading1"/>
      </w:pPr>
      <w:r>
        <w:t>N3.9 Estados y transiciones</w:t>
      </w:r>
      <w:bookmarkEnd w:id="10"/>
    </w:p>
    <w:p>
      <w:r>
        <w:t>Vocabulario funcional objetivo. Sistemas debe mapearlo a estados existentes cuando correspondan, sin renombrar o migrar datos por mera diferencia de etiqueta. Una salida CP que describe una denegación es resultado de acción, no un nuevo estado persistente obligatorio.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3800"/>
        <w:gridCol w:w="33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</w:t>
            </w:r>
          </w:p>
        </w:tc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Disparador / condición</w:t>
            </w:r>
          </w:p>
        </w:tc>
        <w:tc>
          <w:tcPr>
            <w:tcW w:type="dxa" w:w="3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Destino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DRAFT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certificación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CERTIFIED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CERTIFIED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publicación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LISTED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ORDER_PENDING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pago confirmado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PAID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PAID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derecho creado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ENTITLED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PAID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reembolso autorizado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REFUNDED</w:t>
            </w:r>
          </w:p>
        </w:tc>
      </w:tr>
    </w:tbl>
    <w:p>
      <w:pPr>
        <w:pStyle w:val="Small"/>
      </w:pPr>
    </w:p>
    <w:p>
      <w:r>
        <w:t>Semáforos: verde = condición satisfecha; ámbar = revisión o espera; rojo = bloqueo o fallo; gris = no iniciado/no aplicable. El texto del estado es obligatorio para accesibilidad.</w:t>
      </w:r>
    </w:p>
    <w:p>
      <w:bookmarkStart w:id="11" w:name="s11"/>
      <w:pPr>
        <w:pStyle w:val="Heading1"/>
      </w:pPr>
      <w:r>
        <w:t>N3.10 Casos generales de negocio</w:t>
      </w:r>
      <w:bookmarkEnd w:id="1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450"/>
        <w:gridCol w:w="7910"/>
      </w:tblGrid>
      <w:tr>
        <w:trPr>
          <w:cantSplit/>
          <w:tblHeader/>
        </w:trPr>
        <w:tc>
          <w:tcPr>
            <w:tcW w:type="dxa" w:w="14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79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 y resultado de negocio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CBG-MKT-01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Publicar ofertas certificadas, licencias y liquidaciones trazables sin acoplar el runtime documental al cobro.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CBG-MKT-02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Un actor externo o sistema dependiente recibe sólo el resultado autorizado, con referencia y estado comprensibles.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CBG-MKT-03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La corrección o caída de una dependencia permite continuar desde el último resultado confirmado sin duplicar trabajo.</w:t>
            </w:r>
          </w:p>
        </w:tc>
      </w:tr>
    </w:tbl>
    <w:p>
      <w:pPr>
        <w:pStyle w:val="Small"/>
      </w:pPr>
    </w:p>
    <w:p>
      <w:bookmarkStart w:id="12" w:name="s12"/>
      <w:pPr>
        <w:pStyle w:val="Heading1"/>
      </w:pPr>
      <w:r>
        <w:t>N3.11 Casos particulares y pruebas específicas</w:t>
      </w:r>
      <w:bookmarkEnd w:id="12"/>
    </w:p>
    <w:p>
      <w:r>
        <w:t>Cada CP es también la especificación ejecutable de su QA del mismo número. Preparar el fixture descrito, ejecutar la acción y comprobar toda la salida: estado, efectos permitidos y efectos prohibidos. Resultados de ejecución quedan PENDIENTES hasta que el equipo corra la suite. Los números de ejemplo son datos de prueba, no parámetros productivos.</w:t>
      </w:r>
    </w:p>
    <w:p>
      <w:pPr>
        <w:pStyle w:val="Heading2"/>
      </w:pPr>
      <w:r>
        <w:t>Casos de RE-MKT-01 · Publisher verificado</w:t>
      </w:r>
    </w:p>
    <w:p>
      <w:pPr>
        <w:pStyle w:val="Heading3"/>
      </w:pPr>
      <w:r>
        <w:t>CP-MKT-01 / QA-MKT-01</w:t>
      </w:r>
    </w:p>
    <w:p>
      <w:r>
        <w:t>Dado: Publisher activo con provenance. Fixture FX-MKT-01.</w:t>
      </w:r>
    </w:p>
    <w:p>
      <w:r>
        <w:t>Cuando: Solicitar certificación. Entonces: EN_REVISION.</w:t>
      </w:r>
    </w:p>
    <w:p>
      <w:pPr>
        <w:pStyle w:val="Small"/>
      </w:pPr>
      <w:r>
        <w:t>Regla RE-MKT-01 · Historia HU-MKT-01.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CP-MKT-02 / QA-MKT-02</w:t>
      </w:r>
    </w:p>
    <w:p>
      <w:r>
        <w:t>Dado: Publisher suspendido. Fixture FX-MKT-02.</w:t>
      </w:r>
    </w:p>
    <w:p>
      <w:r>
        <w:t>Cuando: Publicar listing. Entonces: DENEGADO.</w:t>
      </w:r>
    </w:p>
    <w:p>
      <w:pPr>
        <w:pStyle w:val="Small"/>
      </w:pPr>
      <w:r>
        <w:t>Regla RE-MKT-01 · Historia HU-MKT-01.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CP-MKT-03 / QA-MKT-03</w:t>
      </w:r>
    </w:p>
    <w:p>
      <w:r>
        <w:t>Dado: Plantilla sin derechos de distribución. Fixture FX-MKT-03.</w:t>
      </w:r>
    </w:p>
    <w:p>
      <w:r>
        <w:t>Cuando: Certificar. Entonces: RECHAZADA.</w:t>
      </w:r>
    </w:p>
    <w:p>
      <w:pPr>
        <w:pStyle w:val="Small"/>
      </w:pPr>
      <w:r>
        <w:t>Regla RE-MKT-01 · Historia HU-MKT-01.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CP-MKT-04 / QA-MKT-04</w:t>
      </w:r>
    </w:p>
    <w:p>
      <w:r>
        <w:t>Dado: Datos de soporte faltantes. Fixture FX-MKT-04.</w:t>
      </w:r>
    </w:p>
    <w:p>
      <w:r>
        <w:t>Cuando: Enviar oferta. Entonces: INCOMPLETA; no listar.</w:t>
      </w:r>
    </w:p>
    <w:p>
      <w:pPr>
        <w:pStyle w:val="Small"/>
      </w:pPr>
      <w:r>
        <w:t>Regla RE-MKT-01 · Historia HU-MKT-01.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RE-MKT-02 · Certificación por versión</w:t>
      </w:r>
    </w:p>
    <w:p>
      <w:pPr>
        <w:pStyle w:val="Heading3"/>
      </w:pPr>
      <w:r>
        <w:t>CP-MKT-05 / QA-MKT-05</w:t>
      </w:r>
    </w:p>
    <w:p>
      <w:r>
        <w:t>Dado: Pack v1 supera suite. Fixture FX-MKT-05.</w:t>
      </w:r>
    </w:p>
    <w:p>
      <w:r>
        <w:t>Cuando: Certificar. Entonces: CERTIFIED v1.</w:t>
      </w:r>
    </w:p>
    <w:p>
      <w:pPr>
        <w:pStyle w:val="Small"/>
      </w:pPr>
      <w:r>
        <w:t>Regla RE-MKT-02 · Historia HU-MKT-02.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CP-MKT-06 / QA-MKT-06</w:t>
      </w:r>
    </w:p>
    <w:p>
      <w:r>
        <w:t>Dado: Pack v2 cambia reglas después de certificar v1. Fixture FX-MKT-06.</w:t>
      </w:r>
    </w:p>
    <w:p>
      <w:r>
        <w:t>Cuando: Publicar v2. Entonces: BLOQUEADO hasta nueva certificación.</w:t>
      </w:r>
    </w:p>
    <w:p>
      <w:pPr>
        <w:pStyle w:val="Small"/>
      </w:pPr>
      <w:r>
        <w:t>Regla RE-MKT-02 · Historia HU-MKT-02.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CP-MKT-07 / QA-MKT-07</w:t>
      </w:r>
    </w:p>
    <w:p>
      <w:r>
        <w:t>Dado: Fixture de seguridad falla. Fixture FX-MKT-07.</w:t>
      </w:r>
    </w:p>
    <w:p>
      <w:r>
        <w:t>Cuando: Certificar. Entonces: RECHAZADA.</w:t>
      </w:r>
    </w:p>
    <w:p>
      <w:pPr>
        <w:pStyle w:val="Small"/>
      </w:pPr>
      <w:r>
        <w:t>Regla RE-MKT-02 · Historia HU-MKT-02.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CP-MKT-08 / QA-MKT-08</w:t>
      </w:r>
    </w:p>
    <w:p>
      <w:r>
        <w:t>Dado: Dependencia de módulo no declarada. Fixture FX-MKT-08.</w:t>
      </w:r>
    </w:p>
    <w:p>
      <w:r>
        <w:t>Cuando: Certificar. Entonces: INCOMPLETA; mostrar requisito.</w:t>
      </w:r>
    </w:p>
    <w:p>
      <w:pPr>
        <w:pStyle w:val="Small"/>
      </w:pPr>
      <w:r>
        <w:t>Regla RE-MKT-02 · Historia HU-MKT-02.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RE-MKT-03 · Visibilidad del catálogo</w:t>
      </w:r>
    </w:p>
    <w:p>
      <w:pPr>
        <w:pStyle w:val="Heading3"/>
      </w:pPr>
      <w:r>
        <w:t>CP-MKT-09 / QA-MKT-09</w:t>
      </w:r>
    </w:p>
    <w:p>
      <w:r>
        <w:t>Dado: Tenant invitado a catálogo privado. Fixture FX-MKT-09.</w:t>
      </w:r>
    </w:p>
    <w:p>
      <w:r>
        <w:t>Cuando: Buscar. Entonces: Oferta privada visible.</w:t>
      </w:r>
    </w:p>
    <w:p>
      <w:pPr>
        <w:pStyle w:val="Small"/>
      </w:pPr>
      <w:r>
        <w:t>Regla RE-MKT-03 · Historia HU-MKT-03.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CP-MKT-10 / QA-MKT-10</w:t>
      </w:r>
    </w:p>
    <w:p>
      <w:r>
        <w:t>Dado: Tenant no invitado. Fixture FX-MKT-10.</w:t>
      </w:r>
    </w:p>
    <w:p>
      <w:r>
        <w:t>Cuando: Buscar por título exacto. Entonces: Sin resultado privado.</w:t>
      </w:r>
    </w:p>
    <w:p>
      <w:pPr>
        <w:pStyle w:val="Small"/>
      </w:pPr>
      <w:r>
        <w:t>Regla RE-MKT-03 · Historia HU-MKT-03.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CP-MKT-11 / QA-MKT-11</w:t>
      </w:r>
    </w:p>
    <w:p>
      <w:r>
        <w:t>Dado: Oferta sólo para país configurado. Fixture FX-MKT-11.</w:t>
      </w:r>
    </w:p>
    <w:p>
      <w:r>
        <w:t>Cuando: Comprar desde país no permitido. Entonces: NO_DISPONIBLE con motivo público.</w:t>
      </w:r>
    </w:p>
    <w:p>
      <w:pPr>
        <w:pStyle w:val="Small"/>
      </w:pPr>
      <w:r>
        <w:t>Regla RE-MKT-03 · Historia HU-MKT-03.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CP-MKT-12 / QA-MKT-12</w:t>
      </w:r>
    </w:p>
    <w:p>
      <w:r>
        <w:t>Dado: Listing retirado. Fixture FX-MKT-12.</w:t>
      </w:r>
    </w:p>
    <w:p>
      <w:r>
        <w:t>Cuando: Abrir nueva compra. Entonces: COMPRA_BLOQUEADA; instalaciones previas tratadas por licencia.</w:t>
      </w:r>
    </w:p>
    <w:p>
      <w:pPr>
        <w:pStyle w:val="Small"/>
      </w:pPr>
      <w:r>
        <w:t>Regla RE-MKT-03 · Historia HU-MKT-03.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RE-MKT-04 · Términos fijados</w:t>
      </w:r>
    </w:p>
    <w:p>
      <w:pPr>
        <w:pStyle w:val="Heading3"/>
      </w:pPr>
      <w:r>
        <w:t>CP-MKT-13 / QA-MKT-13</w:t>
      </w:r>
    </w:p>
    <w:p>
      <w:r>
        <w:t>Dado: Oferta fixture 100 USD con términos v1. Fixture FX-MKT-13.</w:t>
      </w:r>
    </w:p>
    <w:p>
      <w:r>
        <w:t>Cuando: Confirmar compra. Entonces: ORDER_PENDING con snapshot.</w:t>
      </w:r>
    </w:p>
    <w:p>
      <w:pPr>
        <w:pStyle w:val="Small"/>
      </w:pPr>
      <w:r>
        <w:t>Regla RE-MKT-04 · Historia HU-MKT-04.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CP-MKT-14 / QA-MKT-14</w:t>
      </w:r>
    </w:p>
    <w:p>
      <w:r>
        <w:t>Dado: Precio cambia a 120 antes de confirmar. Fixture FX-MKT-14.</w:t>
      </w:r>
    </w:p>
    <w:p>
      <w:r>
        <w:t>Cuando: Enviar confirmación vieja. Entonces: RECONFIRMACION requerida.</w:t>
      </w:r>
    </w:p>
    <w:p>
      <w:pPr>
        <w:pStyle w:val="Small"/>
      </w:pPr>
      <w:r>
        <w:t>Regla RE-MKT-04 · Historia HU-MKT-04.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CP-MKT-15 / QA-MKT-15</w:t>
      </w:r>
    </w:p>
    <w:p>
      <w:r>
        <w:t>Dado: Moneda ausente. Fixture FX-MKT-15.</w:t>
      </w:r>
    </w:p>
    <w:p>
      <w:r>
        <w:t>Cuando: Crear orden. Entonces: INVALIDA.</w:t>
      </w:r>
    </w:p>
    <w:p>
      <w:pPr>
        <w:pStyle w:val="Small"/>
      </w:pPr>
      <w:r>
        <w:t>Regla RE-MKT-04 · Historia HU-MKT-04.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CP-MKT-16 / QA-MKT-16</w:t>
      </w:r>
    </w:p>
    <w:p>
      <w:r>
        <w:t>Dado: Misma clave de compra repetida. Fixture FX-MKT-16.</w:t>
      </w:r>
    </w:p>
    <w:p>
      <w:r>
        <w:t>Cuando: Crear orden. Entonces: Una orden con mismo total.</w:t>
      </w:r>
    </w:p>
    <w:p>
      <w:pPr>
        <w:pStyle w:val="Small"/>
      </w:pPr>
      <w:r>
        <w:t>Regla RE-MKT-04 · Historia HU-MKT-04.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RE-MKT-05 · Pago y derecho separados</w:t>
      </w:r>
    </w:p>
    <w:p>
      <w:pPr>
        <w:pStyle w:val="Heading3"/>
      </w:pPr>
      <w:r>
        <w:t>CP-MKT-17 / QA-MKT-17</w:t>
      </w:r>
    </w:p>
    <w:p>
      <w:r>
        <w:t>Dado: Callback de pago válido para orden. Fixture FX-MKT-17.</w:t>
      </w:r>
    </w:p>
    <w:p>
      <w:r>
        <w:t>Cuando: Confirmar. Entonces: PAID y derecho creado una vez.</w:t>
      </w:r>
    </w:p>
    <w:p>
      <w:pPr>
        <w:pStyle w:val="Small"/>
      </w:pPr>
      <w:r>
        <w:t>Regla RE-MKT-05 · Historia HU-MKT-05.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CP-MKT-18 / QA-MKT-18</w:t>
      </w:r>
    </w:p>
    <w:p>
      <w:r>
        <w:t>Dado: Proveedor devuelve timeout. Fixture FX-MKT-18.</w:t>
      </w:r>
    </w:p>
    <w:p>
      <w:r>
        <w:t>Cuando: Consultar orden. Entonces: PENDING_RECONCILIATION; sin derecho nuevo.</w:t>
      </w:r>
    </w:p>
    <w:p>
      <w:pPr>
        <w:pStyle w:val="Small"/>
      </w:pPr>
      <w:r>
        <w:t>Regla RE-MKT-05 · Historia HU-MKT-05.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CP-MKT-19 / QA-MKT-19</w:t>
      </w:r>
    </w:p>
    <w:p>
      <w:r>
        <w:t>Dado: Callback falso o importe distinto. Fixture FX-MKT-19.</w:t>
      </w:r>
    </w:p>
    <w:p>
      <w:r>
        <w:t>Cuando: Confirmar. Entonces: REVISION_PAGO; sin entitlement.</w:t>
      </w:r>
    </w:p>
    <w:p>
      <w:pPr>
        <w:pStyle w:val="Small"/>
      </w:pPr>
      <w:r>
        <w:t>Regla RE-MKT-05 · Historia HU-MKT-05.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CP-MKT-20 / QA-MKT-20</w:t>
      </w:r>
    </w:p>
    <w:p>
      <w:r>
        <w:t>Dado: Oferta gratuita certificada. Fixture FX-MKT-20.</w:t>
      </w:r>
    </w:p>
    <w:p>
      <w:r>
        <w:t>Cuando: Aceptar términos. Entonces: ENTITLED sin cargo, con evidencia.</w:t>
      </w:r>
    </w:p>
    <w:p>
      <w:pPr>
        <w:pStyle w:val="Small"/>
      </w:pPr>
      <w:r>
        <w:t>Regla RE-MKT-05 · Historia HU-MKT-05.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RE-MKT-06 · Licencias vigentes</w:t>
      </w:r>
    </w:p>
    <w:p>
      <w:pPr>
        <w:pStyle w:val="Heading3"/>
      </w:pPr>
      <w:r>
        <w:t>CP-MKT-21 / QA-MKT-21</w:t>
      </w:r>
    </w:p>
    <w:p>
      <w:r>
        <w:t>Dado: Derecho vigente de tenant A. Fixture FX-MKT-21.</w:t>
      </w:r>
    </w:p>
    <w:p>
      <w:r>
        <w:t>Cuando: Solicitar instalación. Entonces: AUTORIZADA.</w:t>
      </w:r>
    </w:p>
    <w:p>
      <w:pPr>
        <w:pStyle w:val="Small"/>
      </w:pPr>
      <w:r>
        <w:t>Regla RE-MKT-06 · Historia HU-MKT-06.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CP-MKT-22 / QA-MKT-22</w:t>
      </w:r>
    </w:p>
    <w:p>
      <w:r>
        <w:t>Dado: Licencia de A usada por B. Fixture FX-MKT-22.</w:t>
      </w:r>
    </w:p>
    <w:p>
      <w:r>
        <w:t>Cuando: Instalar. Entonces: DENEGADA.</w:t>
      </w:r>
    </w:p>
    <w:p>
      <w:pPr>
        <w:pStyle w:val="Small"/>
      </w:pPr>
      <w:r>
        <w:t>Regla RE-MKT-06 · Historia HU-MKT-06.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CP-MKT-23 / QA-MKT-23</w:t>
      </w:r>
    </w:p>
    <w:p>
      <w:r>
        <w:t>Dado: Licencia expirada. Fixture FX-MKT-23.</w:t>
      </w:r>
    </w:p>
    <w:p>
      <w:r>
        <w:t>Cuando: Crear nueva instalación. Entonces: BLOQUEADA.</w:t>
      </w:r>
    </w:p>
    <w:p>
      <w:pPr>
        <w:pStyle w:val="Small"/>
      </w:pPr>
      <w:r>
        <w:t>Regla RE-MKT-06 · Historia HU-MKT-06.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CP-MKT-24 / QA-MKT-24</w:t>
      </w:r>
    </w:p>
    <w:p>
      <w:r>
        <w:t>Dado: Licencia expira con instancias activas. Fixture FX-MKT-24.</w:t>
      </w:r>
    </w:p>
    <w:p>
      <w:r>
        <w:t>Cuando: Continuar. Entonces: Aplicar continuidad pactada; no borrar expediente.</w:t>
      </w:r>
    </w:p>
    <w:p>
      <w:pPr>
        <w:pStyle w:val="Small"/>
      </w:pPr>
      <w:r>
        <w:t>Regla RE-MKT-06 · Historia HU-MKT-06.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RE-MKT-07 · Reparto y compensación</w:t>
      </w:r>
    </w:p>
    <w:p>
      <w:pPr>
        <w:pStyle w:val="Heading3"/>
      </w:pPr>
      <w:r>
        <w:t>CP-MKT-25 / QA-MKT-25</w:t>
      </w:r>
    </w:p>
    <w:p>
      <w:r>
        <w:t>Dado: Venta fixture 100 y reparto publisher 70%. Fixture FX-MKT-25.</w:t>
      </w:r>
    </w:p>
    <w:p>
      <w:r>
        <w:t>Cuando: Registrar. Entonces: 70 publisher y 30 plataforma antes de otros conceptos configurados.</w:t>
      </w:r>
    </w:p>
    <w:p>
      <w:pPr>
        <w:pStyle w:val="Small"/>
      </w:pPr>
      <w:r>
        <w:t>Regla RE-MKT-07 · Historia HU-MKT-07.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CP-MKT-26 / QA-MKT-26</w:t>
      </w:r>
    </w:p>
    <w:p>
      <w:r>
        <w:t>Dado: Callback de venta duplicado. Fixture FX-MKT-26.</w:t>
      </w:r>
    </w:p>
    <w:p>
      <w:r>
        <w:t>Cuando: Contabilizar. Entonces: Un ingreso y un reparto.</w:t>
      </w:r>
    </w:p>
    <w:p>
      <w:pPr>
        <w:pStyle w:val="Small"/>
      </w:pPr>
      <w:r>
        <w:t>Regla RE-MKT-07 · Historia HU-MKT-07.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CP-MKT-27 / QA-MKT-27</w:t>
      </w:r>
    </w:p>
    <w:p>
      <w:r>
        <w:t>Dado: Reembolso total autorizado. Fixture FX-MKT-27.</w:t>
      </w:r>
    </w:p>
    <w:p>
      <w:r>
        <w:t>Cuando: Registrar. Entonces: Movimiento compensatorio; saldo neto corregido.</w:t>
      </w:r>
    </w:p>
    <w:p>
      <w:pPr>
        <w:pStyle w:val="Small"/>
      </w:pPr>
      <w:r>
        <w:t>Regla RE-MKT-07 · Historia HU-MKT-07.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CP-MKT-28 / QA-MKT-28</w:t>
      </w:r>
    </w:p>
    <w:p>
      <w:r>
        <w:t>Dado: Cambio de porcentaje después de venta. Fixture FX-MKT-28.</w:t>
      </w:r>
    </w:p>
    <w:p>
      <w:r>
        <w:t>Cuando: Recalcular venta anterior. Entonces: No cambiar snapshot de reparto original.</w:t>
      </w:r>
    </w:p>
    <w:p>
      <w:pPr>
        <w:pStyle w:val="Small"/>
      </w:pPr>
      <w:r>
        <w:t>Regla RE-MKT-07 · Historia HU-MKT-07.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RE-MKT-08 · Conciliación y disputa</w:t>
      </w:r>
    </w:p>
    <w:p>
      <w:pPr>
        <w:pStyle w:val="Heading3"/>
      </w:pPr>
      <w:r>
        <w:t>CP-MKT-29 / QA-MKT-29</w:t>
      </w:r>
    </w:p>
    <w:p>
      <w:r>
        <w:t>Dado: Pago confirmado y ledger faltante. Fixture FX-MKT-29.</w:t>
      </w:r>
    </w:p>
    <w:p>
      <w:r>
        <w:t>Cuando: Conciliar. Entonces: Crear incidencia y completar idempotentemente.</w:t>
      </w:r>
    </w:p>
    <w:p>
      <w:pPr>
        <w:pStyle w:val="Small"/>
      </w:pPr>
      <w:r>
        <w:t>Regla RE-MKT-08 · Historia HU-MKT-08.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CP-MKT-30 / QA-MKT-30</w:t>
      </w:r>
    </w:p>
    <w:p>
      <w:r>
        <w:t>Dado: Derecho sin orden gratuita ni pago. Fixture FX-MKT-30.</w:t>
      </w:r>
    </w:p>
    <w:p>
      <w:r>
        <w:t>Cuando: Conciliar. Entonces: INCIDENCIA_CRITICA; bloquear nuevas instalaciones.</w:t>
      </w:r>
    </w:p>
    <w:p>
      <w:pPr>
        <w:pStyle w:val="Small"/>
      </w:pPr>
      <w:r>
        <w:t>Regla RE-MKT-08 · Historia HU-MKT-08.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CP-MKT-31 / QA-MKT-31</w:t>
      </w:r>
    </w:p>
    <w:p>
      <w:r>
        <w:t>Dado: Cliente abre disputa. Fixture FX-MKT-31.</w:t>
      </w:r>
    </w:p>
    <w:p>
      <w:r>
        <w:t>Cuando: Registrar. Entonces: DISPUTED; conservar evidencia y política de continuidad.</w:t>
      </w:r>
    </w:p>
    <w:p>
      <w:pPr>
        <w:pStyle w:val="Small"/>
      </w:pPr>
      <w:r>
        <w:t>Regla RE-MKT-08 · Historia HU-MKT-08.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CP-MKT-32 / QA-MKT-32</w:t>
      </w:r>
    </w:p>
    <w:p>
      <w:r>
        <w:t>Dado: Reporte mensual de ventas. Fixture FX-MKT-32.</w:t>
      </w:r>
    </w:p>
    <w:p>
      <w:r>
        <w:t>Cuando: Exportar. Entonces: Totales reconciliados a movimientos fuente autorizados.</w:t>
      </w:r>
    </w:p>
    <w:p>
      <w:pPr>
        <w:pStyle w:val="Small"/>
      </w:pPr>
      <w:r>
        <w:t>Regla RE-MKT-08 · Historia HU-MKT-08. Evidencia: respuesta/estado y referencia del recurso; antes/después o ausencia de mutación cuando se deniega. Automatizar integración; añadir unitario para regla pura y UI/E2E si la acción es visible.</w:t>
      </w:r>
    </w:p>
    <w:p>
      <w:bookmarkStart w:id="13" w:name="s13"/>
      <w:pPr>
        <w:pStyle w:val="Heading1"/>
      </w:pPr>
      <w:r>
        <w:t>N3.12 Historias y criterios de aceptación</w:t>
      </w:r>
      <w:bookmarkEnd w:id="13"/>
    </w:p>
    <w:p>
      <w:r>
        <w:t>Cada historia corresponde a una regla RE y sus cuatro escenarios; esas referencias aportan criterios Given/When/Then completos sin reescribirlos de forma genérica. El split adicional por pantalla o integración mantiene el mismo N3 y no elimina pruebas.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500"/>
        <w:gridCol w:w="5800"/>
        <w:gridCol w:w="2060"/>
      </w:tblGrid>
      <w:tr>
        <w:trPr>
          <w:cantSplit/>
          <w:tblHeader/>
        </w:trPr>
        <w:tc>
          <w:tcPr>
            <w:tcW w:type="dxa" w:w="1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Historia</w:t>
            </w:r>
          </w:p>
        </w:tc>
        <w:tc>
          <w:tcPr>
            <w:tcW w:type="dxa" w:w="5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Necesidad y criterio</w:t>
            </w:r>
          </w:p>
        </w:tc>
        <w:tc>
          <w:tcPr>
            <w:tcW w:type="dxa" w:w="2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Casos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HU-MKT-01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Publisher, quiero publisher verificado para publisher activo y propietario/licenciado del contenido puede solicitar certificación; declarar soporte y países aplicables.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CP/QA-MKT-01 a 04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HU-MKT-02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Publisher, quiero certificación por versión para certificar versión exacta con fixtures y dependencias.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CP/QA-MKT-05 a 08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HU-MKT-03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Publisher, quiero visibilidad del catálogo para catálogo público y privado aplican permisos y disponibilidad por tenant/país; buscador no filtra metadata de ofertas privadas.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CP/QA-MKT-09 a 12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HU-MKT-04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Publisher, quiero términos fijados para fijar precio, moneda, impuestos aplicables y versión de términos antes de confirmar.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CP/QA-MKT-13 a 16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HU-MKT-05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Publisher, quiero pago y derecho separados para sólo confirmación válida de pago o licencia gratuita aprobada genera entitlement.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CP/QA-MKT-17 a 20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HU-MKT-06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Publisher, quiero licencias vigentes para licencia define tenant, versión/alcance y vigencia.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CP/QA-MKT-21 a 24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HU-MKT-07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Publisher, quiero reparto y compensación para ledger inmutable con términos de reparto versionados.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CP/QA-MKT-25 a 28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HU-MKT-08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Publisher, quiero conciliación y disputa para conciliar orden, pago, derecho y ledger; una diferencia queda en cola con owner.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CP/QA-MKT-29 a 32</w:t>
            </w:r>
          </w:p>
        </w:tc>
      </w:tr>
    </w:tbl>
    <w:p>
      <w:pPr>
        <w:pStyle w:val="Small"/>
      </w:pPr>
    </w:p>
    <w:p>
      <w:bookmarkStart w:id="14" w:name="s14"/>
      <w:pPr>
        <w:pStyle w:val="Heading1"/>
      </w:pPr>
      <w:r>
        <w:t>N3.13 QA automatizado y SPR083</w:t>
      </w:r>
      <w:bookmarkEnd w:id="14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Cobertura / responsable / gate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Unitario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Comparadores, umbrales y validaciones RE; Desarrollo; cada build.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Integración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Todos los QA-MKT; persistencia, auth y efectos; Desarrollo + QA; candidato.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UI/E2E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Acciones visibles de CP y recorrido de módulo; QA Automation + Desarrollo; piloto.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Regresión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Suite core y contratos PAR, STU, IAM, GOV; QA; sin pérdida de cobertura.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Históricos / carga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Versiones previas, replay y concurrencia definidos en CP; QA/SRE; release.</w:t>
            </w:r>
          </w:p>
        </w:tc>
      </w:tr>
    </w:tbl>
    <w:p>
      <w:pPr>
        <w:pStyle w:val="Small"/>
      </w:pPr>
    </w:p>
    <w:p>
      <w:r>
        <w:t>SPR083 es la referencia de disciplina QA del programa. No se ha creado un ticket ni se afirma que la suite exista en el repositorio. Integración obligatoria usa NEXTDOCS_PRUEBA_OBLIGATORIA=true cuando aplica al stack reportado.</w:t>
      </w:r>
    </w:p>
    <w:p>
      <w:bookmarkStart w:id="15" w:name="s15"/>
      <w:pPr>
        <w:pStyle w:val="Heading1"/>
      </w:pPr>
      <w:r>
        <w:t>N3.14 Diseño de cada caso QA</w:t>
      </w:r>
      <w:bookmarkEnd w:id="15"/>
    </w:p>
    <w:p>
      <w:pPr>
        <w:pStyle w:val="ListBullet"/>
      </w:pPr>
      <w:r>
        <w:t>Preparar tenant A/B, rol y estado indicados en FX; registrar versión de configuración usada.</w:t>
      </w:r>
    </w:p>
    <w:p>
      <w:pPr>
        <w:pStyle w:val="ListBullet"/>
      </w:pPr>
      <w:r>
        <w:t>Ejecutar la acción When una vez; para duplicados/concurrencia, reproducir el número y orden indicado en CP.</w:t>
      </w:r>
    </w:p>
    <w:p>
      <w:pPr>
        <w:pStyle w:val="ListBullet"/>
      </w:pPr>
      <w:r>
        <w:t>Comprobar el resultado Then en respuesta, persistencia y UI cuando corresponda; verificar también que no exista el efecto prohibido.</w:t>
      </w:r>
    </w:p>
    <w:p>
      <w:pPr>
        <w:pStyle w:val="ListBullet"/>
      </w:pPr>
      <w:r>
        <w:t>Capturar QA ID, build, entorno, tiempos y resource_ref; adjuntar logs sin secretos y screenshot cuando UI sea parte del caso.</w:t>
      </w:r>
    </w:p>
    <w:p>
      <w:pPr>
        <w:pStyle w:val="ListBullet"/>
      </w:pPr>
      <w:r>
        <w:t>Restablecer fixture aislado antes del siguiente test; nunca borrar datos productivos para reset.</w:t>
      </w:r>
    </w:p>
    <w:p>
      <w:r>
        <w:t>La matriz QA_MAESTRA_V11 identifica precondición, acción, resultado, historia, regla y fixture de los 544 casos. No es un reporte de pruebas aprobadas.</w:t>
      </w:r>
    </w:p>
    <w:p>
      <w:bookmarkStart w:id="16" w:name="s16"/>
      <w:pPr>
        <w:pStyle w:val="Heading1"/>
      </w:pPr>
      <w:r>
        <w:t>N3.15 Fixtures y ambientes</w:t>
      </w:r>
      <w:bookmarkEnd w:id="16"/>
    </w:p>
    <w:p>
      <w:r>
        <w:t>FX-MKT-01 a 32 corresponden uno a uno a las precondiciones de N3.11. Las referencias de ejemplo son sintéticas; el equipo materializa entidades con factories/seeders del repositorio y conserva el fixture versionado.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50"/>
        <w:gridCol w:w="7410"/>
      </w:tblGrid>
      <w:tr>
        <w:trPr>
          <w:cantSplit/>
          <w:tblHeader/>
        </w:trPr>
        <w:tc>
          <w:tcPr>
            <w:tcW w:type="dxa" w:w="1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7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Preparación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Tenants y roles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A autorizado, B aislado; usuario lector, operador y administrador; grants activos/expirados según CP.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Reloj y versiones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Reloj fijo en UTC y zona tenant; versiones v1/v2; no usar fecha corriente para pruebas de TTL.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Servicios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Infra real de integración reportada; stubs para proveedores externos, pagos, firma y fallos controlados.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Datos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Separar sintéticos, reales autorizados y gold corpus etiquetado. Los CP de calidad no usan respuestas IA no deterministas como única aserción.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Reset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Eliminar sólo espacio de prueba identificado por run_ref; reiniciar colas/objetos del fixture y verificar aislamiento.</w:t>
            </w:r>
          </w:p>
        </w:tc>
      </w:tr>
    </w:tbl>
    <w:p>
      <w:pPr>
        <w:pStyle w:val="Small"/>
      </w:pPr>
    </w:p>
    <w:p>
      <w:bookmarkStart w:id="17" w:name="s17"/>
      <w:pPr>
        <w:pStyle w:val="Heading1"/>
      </w:pPr>
      <w:r>
        <w:t>N3.16 UX/UI y prototipos</w:t>
      </w:r>
      <w:bookmarkEnd w:id="17"/>
    </w:p>
    <w:p>
      <w:r>
        <w:t>Nuevo catálogo y consola de publisher; precios y alcance claros antes de compra.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Comportamiento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Entrada / salida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Publisher solicita → Registrar reparto; conservar contexto y recurso al navegar.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Acción primaria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Publisher verificado con permiso y estado vigente; confirmar sólo tras persistencia.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Acciones secundarias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Consultar evidencia, volver a lista, reintentar si recuperable; cancelar sólo con permiso/motivo.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Empty / loading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Explicar ausencia y siguiente acción; mostrar procesamiento con referencia, no resultado ficticio.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Error / success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Error con causa y recuperación; éxito con estado real y enlace al recurso.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Filtros / columnas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Tenant contextual, fecha, estado, responsable y referencia; orden estable; perfiles por rol sin ampliar permisos.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Responsive / accesibilidad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Teclado, foco, contraste y etiqueta textual; móvil con acciones visibles; no color como única información.</w:t>
            </w:r>
          </w:p>
        </w:tc>
      </w:tr>
    </w:tbl>
    <w:p>
      <w:pPr>
        <w:pStyle w:val="Small"/>
      </w:pPr>
    </w:p>
    <w:p>
      <w:r>
        <w:t>Figma define antes/después para revamp y flujo completo para nuevo desarrollo. Figma Make puede prototipar navegación sin imponer implementación. No se entrega un diseño Figma creado ni enlaces inventados. Mensajes base: “No tenés permiso para esta acción”, “El recurso cambió; revisá la versión actual”, “No se pudo completar; conservamos tu solicitud para revisión”.</w:t>
      </w:r>
    </w:p>
    <w:p>
      <w:bookmarkStart w:id="18" w:name="s18"/>
      <w:pPr>
        <w:pStyle w:val="Heading1"/>
      </w:pPr>
      <w:r>
        <w:t>N3.17 Análisis con Devin</w:t>
      </w:r>
      <w:bookmarkEnd w:id="18"/>
    </w:p>
    <w:p>
      <w:r>
        <w:t>Devin se utiliza sólo para analizar documentación, sistema y brechas: localizar comportamiento MKT, confirmar estado reportado, mapear entidades y pruebas existentes, identificar reutilización y cambios mínimos. Salida esperada: correspondencia regla → código/test existente o tarea nueva, con evidencia del repositorio. No tratar una descripción documental como comprobación del build.</w:t>
      </w:r>
    </w:p>
    <w:p>
      <w:bookmarkStart w:id="19" w:name="s19"/>
      <w:pPr>
        <w:pStyle w:val="Heading1"/>
      </w:pPr>
      <w:r>
        <w:t>N3.18 Guía CTO, Jira y estimación</w:t>
      </w:r>
      <w:bookmarkEnd w:id="19"/>
    </w:p>
    <w:p>
      <w:r>
        <w:t>Crear ocho historias documentales HU-MKT-01 a 08. Cada una enlaza su RE, cuatro CP y cuatro QA; subtareas sugeridas: comportamiento/persistencia, UX si aplica y automatización. No fijar puntos como compromiso sin revisar código.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Complejidad</w:t>
            </w:r>
          </w:p>
        </w:tc>
        <w:tc>
          <w:tcPr>
            <w:tcW w:type="dxa" w:w="7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de estimación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1–3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Ajuste aislado con regla conocida, sin nueva integración y regresión acotada.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5–8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Flujo con estado, permiso, interfaz o contrato; requiere integración y fixtures.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13 o más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Dividir antes del sprint si combina varios journeys, migración o dependencias externas.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Spike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Reservar sólo para incógnita técnica concreta; cerrar con decisión y evidencia, no reemplazar el N3.</w:t>
            </w:r>
          </w:p>
        </w:tc>
      </w:tr>
    </w:tbl>
    <w:p>
      <w:pPr>
        <w:pStyle w:val="Small"/>
      </w:pPr>
    </w:p>
    <w:p>
      <w:bookmarkStart w:id="20" w:name="s20"/>
      <w:pPr>
        <w:pStyle w:val="Heading1"/>
      </w:pPr>
      <w:r>
        <w:t>N3.19 Definition of Ready y Done</w:t>
      </w:r>
      <w:bookmarkEnd w:id="20"/>
    </w:p>
    <w:p>
      <w:pPr>
        <w:pStyle w:val="ListBullet"/>
      </w:pPr>
      <w:r>
        <w:t>Ready: alcance y RE revisados; CP aplicables completos; contratos físicos confirmados; UX y fixtures preparados; owner y prioridad asignados.</w:t>
      </w:r>
    </w:p>
    <w:p>
      <w:pPr>
        <w:pStyle w:val="ListBullet"/>
      </w:pPr>
      <w:r>
        <w:t>Done: CP/QA ejecutados; regresión protegida; datos/estados/audit coherentes; UX revisada; no bloqueantes; documentación y ticket con evidencia.</w:t>
      </w:r>
    </w:p>
    <w:p>
      <w:pPr>
        <w:pStyle w:val="ListBullet"/>
      </w:pPr>
      <w:r>
        <w:t>No cerrar por número de páginas, número de tests o compilación: debe demostrarse el resultado funcional de cada criterio.</w:t>
      </w:r>
    </w:p>
    <w:p>
      <w:bookmarkStart w:id="21" w:name="s21"/>
      <w:pPr>
        <w:pStyle w:val="Heading1"/>
      </w:pPr>
      <w:r>
        <w:t>N3.20 Riesgos, bloqueos y decisiones</w:t>
      </w:r>
      <w:bookmarkEnd w:id="21"/>
    </w:p>
    <w:p>
      <w:r>
        <w:t>Monetización no se activa en MVP0/1. Precios e impuestos son políticas comerciales a parametrizar, no cifras inventadas.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Responsable / momento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Mapeo a contratos y estados existentes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CTO + Desarrollo; antes de implementar. No modificar contratos productivos por etiqueta documental.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Políticas/umbrales tenant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PO + Operación; antes del piloto. Fixtures no son valores productivos.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UX y automatización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UX + QA; antes de pasar historia a Ready.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Evidencia de cierre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QA + PO + CTO; antes del gate correspondiente.</w:t>
            </w:r>
          </w:p>
        </w:tc>
      </w:tr>
    </w:tbl>
    <w:p>
      <w:pPr>
        <w:pStyle w:val="Small"/>
      </w:pPr>
    </w:p>
    <w:p>
      <w:bookmarkStart w:id="22" w:name="s22"/>
      <w:pPr>
        <w:pStyle w:val="Heading1"/>
      </w:pPr>
      <w:r>
        <w:t>N3.21 Anexo sugerido a Sistemas</w:t>
      </w:r>
      <w:bookmarkEnd w:id="22"/>
    </w:p>
    <w:p>
      <w:r>
        <w:t>Diseño técnico por completar al contrastar repositorio: interfaces físicas, persistencia, migraciones, colas, retries, observabilidad y rollback. Mantener contratos existentes cuando sean suficientes. Este apartado no obliga lenguaje, endpoints o microservicios nuevos.</w:t>
      </w:r>
    </w:p>
    <w:p>
      <w:r>
        <w:t>Para módulos del core conservar la infraestructura reportada: PostgreSQL, Redis, MinIO y Keycloak; extracción Gemini con respaldo DeepSeek. Versiones, nombres de servicio, comandos de despliegue y rutas reales deben provenir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N3-MVP2-V11-MKT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N3-MVP2-V11-MKT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