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N1-MVP3-V11-PRD</w:t>
      </w:r>
    </w:p>
    <w:p>
      <w:pPr>
        <w:pStyle w:val="Title"/>
      </w:pPr>
      <w:r>
        <w:t>MVP3 · IA avanzada</w:t>
      </w:r>
    </w:p>
    <w:p>
      <w:pPr>
        <w:pStyle w:val="Subtitle"/>
      </w:pPr>
      <w:r>
        <w:t>PRD completo · Alcance, módulos, valor y aceptación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PRD</w:t>
        </w:r>
      </w:hyperlink>
    </w:p>
    <w:p>
      <w:pPr>
        <w:pStyle w:val="Small"/>
      </w:pPr>
      <w:hyperlink w:anchor="s2">
        <w:r>
          <w:rPr>
            <w:color w:val="6639B7"/>
          </w:rPr>
          <w:t>1. Resumen ejecutivo</w:t>
        </w:r>
      </w:hyperlink>
    </w:p>
    <w:p>
      <w:pPr>
        <w:pStyle w:val="Small"/>
      </w:pPr>
      <w:hyperlink w:anchor="s3">
        <w:r>
          <w:rPr>
            <w:color w:val="6639B7"/>
          </w:rPr>
          <w:t>2. Abstract funcional</w:t>
        </w:r>
      </w:hyperlink>
    </w:p>
    <w:p>
      <w:pPr>
        <w:pStyle w:val="Small"/>
      </w:pPr>
      <w:hyperlink w:anchor="s4">
        <w:r>
          <w:rPr>
            <w:color w:val="6639B7"/>
          </w:rPr>
          <w:t>3. Contexto y oportunidad</w:t>
        </w:r>
      </w:hyperlink>
    </w:p>
    <w:p>
      <w:pPr>
        <w:pStyle w:val="Small"/>
      </w:pPr>
      <w:hyperlink w:anchor="s5">
        <w:r>
          <w:rPr>
            <w:color w:val="6639B7"/>
          </w:rPr>
          <w:t>4. Casos generales de negocio</w:t>
        </w:r>
      </w:hyperlink>
    </w:p>
    <w:p>
      <w:pPr>
        <w:pStyle w:val="Small"/>
      </w:pPr>
      <w:hyperlink w:anchor="s6">
        <w:r>
          <w:rPr>
            <w:color w:val="6639B7"/>
          </w:rPr>
          <w:t>5. Casos específicos del MVP</w:t>
        </w:r>
      </w:hyperlink>
    </w:p>
    <w:p>
      <w:pPr>
        <w:pStyle w:val="Small"/>
      </w:pPr>
      <w:hyperlink w:anchor="s7">
        <w:r>
          <w:rPr>
            <w:color w:val="6639B7"/>
          </w:rPr>
          <w:t>6. Alcance incluido y excluido</w:t>
        </w:r>
      </w:hyperlink>
    </w:p>
    <w:p>
      <w:pPr>
        <w:pStyle w:val="Small"/>
      </w:pPr>
      <w:hyperlink w:anchor="s8">
        <w:r>
          <w:rPr>
            <w:color w:val="6639B7"/>
          </w:rPr>
          <w:t>7. Componentes N2 y detalle N3</w:t>
        </w:r>
      </w:hyperlink>
    </w:p>
    <w:p>
      <w:pPr>
        <w:pStyle w:val="Small"/>
      </w:pPr>
      <w:hyperlink w:anchor="s9">
        <w:r>
          <w:rPr>
            <w:color w:val="6639B7"/>
          </w:rPr>
          <w:t>8. Dependencias y secuencia</w:t>
        </w:r>
      </w:hyperlink>
    </w:p>
    <w:p>
      <w:pPr>
        <w:pStyle w:val="Small"/>
      </w:pPr>
      <w:hyperlink w:anchor="s10">
        <w:r>
          <w:rPr>
            <w:color w:val="6639B7"/>
          </w:rPr>
          <w:t>9. Métricas y criterios de éxito</w:t>
        </w:r>
      </w:hyperlink>
    </w:p>
    <w:p>
      <w:pPr>
        <w:pStyle w:val="Small"/>
      </w:pPr>
      <w:hyperlink w:anchor="s11">
        <w:r>
          <w:rPr>
            <w:color w:val="6639B7"/>
          </w:rPr>
          <w:t>10. Planificación Jira y cierre</w:t>
        </w:r>
      </w:hyperlink>
    </w:p>
    <w:p>
      <w:bookmarkStart w:id="1" w:name="s1"/>
      <w:pPr>
        <w:pStyle w:val="Heading1"/>
      </w:pPr>
      <w:r>
        <w:t>0. Ficha PRD</w:t>
      </w:r>
      <w:bookmarkEnd w:id="1"/>
    </w:p>
    <w:p>
      <w:r>
        <w:t>Epic documental: MVP3; producto NEXT DOC AI. Estado: alcance funcional definido, ejecución pendiente de contraste con repositorio y aprobación de políticas de cliente. Responsable: PO; CTO coordina implementación.</w:t>
      </w:r>
    </w:p>
    <w:p>
      <w:r>
        <w:t>Relación: N0-V11-SISTEMA → este N1 → N2/N3 por módulo. No hay tickets Jira creados por este paquete.</w:t>
      </w:r>
    </w:p>
    <w:p>
      <w:bookmarkStart w:id="2" w:name="s2"/>
      <w:pPr>
        <w:pStyle w:val="Heading1"/>
      </w:pPr>
      <w:r>
        <w:t>1. Resumen ejecutivo</w:t>
      </w:r>
      <w:bookmarkEnd w:id="2"/>
    </w:p>
    <w:p>
      <w:r>
        <w:t>El objetivo de esta etapa es Detectar impacto de cambios documentales sobre dependencias y reevaluar sólo reglas afectadas, preservando explicación y control humano.; Transformar SOP/manuales en propuestas de proceso y reglas, probarlas contra corpus antes de aprobación humana y publicación versionada.</w:t>
      </w:r>
    </w:p>
    <w:p>
      <w:r>
        <w:t>La etapa extiende contratos y modelos previos. No duplica el runtime ni rompe el versionado de documentos, plantillas o instancias. La habilitación depende de gates y demanda; no de una fecha inventada.</w:t>
      </w:r>
    </w:p>
    <w:p>
      <w:bookmarkStart w:id="3" w:name="s3"/>
      <w:pPr>
        <w:pStyle w:val="Heading1"/>
      </w:pPr>
      <w:r>
        <w:t>2. Abstract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Secuencia de producto y dos hitos de MVP0. Las dependencias técnicas puntuales pueden trabajarse en paralelo con contratos mínimos.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4" w:name="s4"/>
      <w:pPr>
        <w:pStyle w:val="Heading1"/>
      </w:pPr>
      <w:r>
        <w:t>3. Contexto y oportunidad</w:t>
      </w:r>
      <w:bookmarkEnd w:id="4"/>
    </w:p>
    <w:p>
      <w:r>
        <w:t>La plataforma dispone de hechos de proceso sobre los que analizar impactos y proponer mejoras. La IA aporta recomendaciones explicables y pruebas, manteniendo aprobación humana.</w:t>
      </w:r>
    </w:p>
    <w:p>
      <w:bookmarkStart w:id="5" w:name="s5"/>
      <w:pPr>
        <w:pStyle w:val="Heading1"/>
      </w:pPr>
      <w:r>
        <w:t>4. Casos generales de negocio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700"/>
        <w:gridCol w:w="2500"/>
        <w:gridCol w:w="5160"/>
      </w:tblGrid>
      <w:tr>
        <w:trPr>
          <w:cantSplit/>
          <w:tblHeader/>
        </w:trPr>
        <w:tc>
          <w:tcPr>
            <w:tcW w:type="dxa" w:w="17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5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AI Governance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Process Facts, grafo y Sentinel incremental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Detectar impacto de cambios documentales sobre dependencias y reevaluar sólo reglas afectadas, preservando explicación y control humano.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Process Designer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Simulation Lab y Process Copilot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Transformar SOP/manuales en propuestas de proceso y reglas, probarlas contra corpus antes de aprobación humana y publicación versionada.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Casos específicos del MVP</w:t>
      </w:r>
      <w:bookmarkEnd w:id="6"/>
    </w:p>
    <w:p>
      <w:pPr>
        <w:pStyle w:val="Heading2"/>
      </w:pPr>
      <w:r>
        <w:t>SEN · Process Facts, grafo y Sentinel incremental</w:t>
      </w:r>
    </w:p>
    <w:p>
      <w:r>
        <w:t>Detectar impacto de cambios documentales sobre dependencias y reevaluar sólo reglas afectadas, preservando explicación y control humano.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Peso cambia 100 a 120 kg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Fact peso marcado cambiado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Peso afecta factura y aduana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Sólo dependencias de peso seleccionadas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Igualdad de número de factura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Comparación determinista, cero llamadas IA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Peso nuevo supera tolerancia definida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INCUMPLIMIENTO con valores y tolerancia</w:t>
            </w:r>
          </w:p>
        </w:tc>
      </w:tr>
    </w:tbl>
    <w:p>
      <w:pPr>
        <w:pStyle w:val="Small"/>
      </w:pPr>
    </w:p>
    <w:p>
      <w:pPr>
        <w:pStyle w:val="Heading2"/>
      </w:pPr>
      <w:r>
        <w:t>COP · Simulation Lab y Process Copilot</w:t>
      </w:r>
    </w:p>
    <w:p>
      <w:r>
        <w:t>Transformar SOP/manuales en propuestas de proceso y reglas, probarlas contra corpus antes de aprobación humana y publicación versionada.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SOP autorizado y legible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FUENTE_LISTA con hash y segmentos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SOP dice aprobación por gerente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Nodo aprobación con referencia al segmento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SOP incluye ignorar permisos del sistema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Instrucción peligrosa no ejecutada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Propuesta con tarea de aprobación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Tareas sólo en sandbox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Alcance incluido y excluido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750"/>
        <w:gridCol w:w="2800"/>
        <w:gridCol w:w="5810"/>
      </w:tblGrid>
      <w:tr>
        <w:trPr>
          <w:cantSplit/>
          <w:tblHeader/>
        </w:trPr>
        <w:tc>
          <w:tcPr>
            <w:tcW w:type="dxa" w:w="7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Estado de partida</w:t>
            </w:r>
          </w:p>
        </w:tc>
        <w:tc>
          <w:tcPr>
            <w:tcW w:type="dxa" w:w="58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Incluido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SEN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Diff de facts; Dependencias mínimas; Comparadores deterministas; Hallazgo explicable; Tareas idempotentes; Orden y concurrencia; Calidad medible; Seguridad y decisión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COP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SOP autorizado; Propuesta con evidencia; Seguridad de contenido; Simulación sin efectos; Regresión comparada; Aprobación humana; Feedback controlado; Publicación y reversa</w:t>
            </w:r>
          </w:p>
        </w:tc>
      </w:tr>
    </w:tbl>
    <w:p>
      <w:pPr>
        <w:pStyle w:val="Small"/>
      </w:pPr>
    </w:p>
    <w:p>
      <w:r>
        <w:t>Exclusiones: No publicar reglas ni ejecutar acciones sensibles sin aprobación humana.</w:t>
      </w:r>
    </w:p>
    <w:p>
      <w:r>
        <w:t>Las decisiones por cliente que no pueden inferirse son umbrales de calidad, límites de archivo, SLA de capacidad, método de firma y perfil enterprise. Están identificadas como decisiones previas al piloto, con fixtures concretos para que desarrollo y QA puedan trabajar sin fabricar un valor productivo.</w:t>
      </w:r>
    </w:p>
    <w:p>
      <w:bookmarkStart w:id="8" w:name="s8"/>
      <w:pPr>
        <w:pStyle w:val="Heading1"/>
      </w:pPr>
      <w:r>
        <w:t>7. Componentes N2 y detalle N3</w:t>
      </w:r>
      <w:bookmarkEnd w:id="8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000"/>
        <w:gridCol w:w="4180"/>
        <w:gridCol w:w="4180"/>
      </w:tblGrid>
      <w:tr>
        <w:trPr>
          <w:cantSplit/>
          <w:tblHeader/>
        </w:trPr>
        <w:tc>
          <w:tcPr>
            <w:tcW w:type="dxa" w:w="1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N2 entregado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N3 entregado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SEN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N2-MVP3-V11-SEN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N3-MVP3-V11-SEN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COP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N2-MVP3-V11-COP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N3-MVP3-V11-COP</w:t>
            </w:r>
          </w:p>
        </w:tc>
      </w:tr>
    </w:tbl>
    <w:p>
      <w:pPr>
        <w:pStyle w:val="Small"/>
      </w:pPr>
    </w:p>
    <w:p>
      <w:r>
        <w:t>Cada N3 incluye ocho reglas específicas, ocho historias y 32 escenarios con entrada, acción, resultado y vínculo QA. Las subtareas Jira enlazan directamente a esas secciones.</w:t>
      </w:r>
    </w:p>
    <w:p>
      <w:bookmarkStart w:id="9" w:name="s9"/>
      <w:pPr>
        <w:pStyle w:val="Heading1"/>
      </w:pPr>
      <w:r>
        <w:t>8. Dependencias y secuencia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200"/>
        <w:gridCol w:w="2500"/>
        <w:gridCol w:w="2660"/>
      </w:tblGrid>
      <w:tr>
        <w:trPr>
          <w:cantSplit/>
          <w:tblHeader/>
        </w:trPr>
        <w:tc>
          <w:tcPr>
            <w:tcW w:type="dxa" w:w="4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Dependencia</w:t>
            </w:r>
          </w:p>
        </w:tc>
        <w:tc>
          <w:tcPr>
            <w:tcW w:type="dxa" w:w="26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Módulos / gate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E26 Sentinel y dependencias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E08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SEN / 3A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E27 Simulation Lab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E26,E15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COP / 3B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E28 Process Copilot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E27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COP / 3C</w:t>
            </w:r>
          </w:p>
        </w:tc>
      </w:tr>
    </w:tbl>
    <w:p>
      <w:pPr>
        <w:pStyle w:val="Small"/>
      </w:pPr>
    </w:p>
    <w:p>
      <w:r>
        <w:t>Los enlaces entre DOC, IAM y GOV expresan contratos existentes, no ciclos de desarrollo que deban rehacerse. En módulos nuevos fijar primero interfaces funcionales y fixtures; después implementar consumidores e integrar. El backlog maestro explicita la secuencia de construcción.</w:t>
      </w:r>
    </w:p>
    <w:p>
      <w:bookmarkStart w:id="10" w:name="s10"/>
      <w:pPr>
        <w:pStyle w:val="Heading1"/>
      </w:pPr>
      <w:r>
        <w:t>9. Métricas y criterios de éxito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100"/>
        <w:gridCol w:w="8260"/>
      </w:tblGrid>
      <w:tr>
        <w:trPr>
          <w:cantSplit/>
          <w:tblHeader/>
        </w:trPr>
        <w:tc>
          <w:tcPr>
            <w:tcW w:type="dxa" w:w="1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de salida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3A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Métricas con etiquetas, selección mínima y tareas idempotentes.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3B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Corpus versionado y ausencia de efectos productivos.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3C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Evidencia SOP, decisiones humanas y publicación gobernada.</w:t>
            </w:r>
          </w:p>
        </w:tc>
      </w:tr>
    </w:tbl>
    <w:p>
      <w:pPr>
        <w:pStyle w:val="Small"/>
      </w:pPr>
    </w:p>
    <w:p>
      <w:r>
        <w:t>Métricas mínimas: tasa de casos críticos aprobados, errores bloqueantes, duplicados/pérdidas y cobertura de roles. Calidad IA usa corpus etiquetado por tipo/campo; rendimiento usa perfil y objetivo aprobados. No confundir 100% de ejecución de pruebas con exactitud del modelo.</w:t>
      </w:r>
    </w:p>
    <w:p>
      <w:bookmarkStart w:id="11" w:name="s11"/>
      <w:pPr>
        <w:pStyle w:val="Heading1"/>
      </w:pPr>
      <w:r>
        <w:t>10. Planificación Jira y cierre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800"/>
        <w:gridCol w:w="6300"/>
        <w:gridCol w:w="2260"/>
      </w:tblGrid>
      <w:tr>
        <w:trPr>
          <w:cantSplit/>
          <w:tblHeader/>
        </w:trPr>
        <w:tc>
          <w:tcPr>
            <w:tcW w:type="dxa" w:w="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6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comprometido</w:t>
            </w:r>
          </w:p>
        </w:tc>
        <w:tc>
          <w:tcPr>
            <w:tcW w:type="dxa" w:w="2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Owner de coordinación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E26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Diff de facts, edges y evaluación mínima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E27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Sin efectos productivos; regresión por corpus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E28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SOP a propuesta con evidencia y aprobación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</w:tbl>
    <w:p>
      <w:pPr>
        <w:pStyle w:val="Small"/>
      </w:pPr>
    </w:p>
    <w:p>
      <w:r>
        <w:t>Orden de trabajo: validar estado real y contracts → preparar fixtures/UX → desarrollar historia y tests → integrar con dependencias → ejecutar E2E/regresión → aprobar gate con evidencia.</w:t>
      </w:r>
    </w:p>
    <w:p>
      <w:pPr>
        <w:pStyle w:val="ListBullet"/>
      </w:pPr>
      <w:r>
        <w:t>No cerrar historia con requisitos genéricos sin verificar CP/QA.</w:t>
      </w:r>
    </w:p>
    <w:p>
      <w:pPr>
        <w:pStyle w:val="ListBullet"/>
      </w:pPr>
      <w:r>
        <w:t>No renumerar IDs al importar Jira; preservar E/HU/RE/CP/QA como claves de trazabilidad.</w:t>
      </w:r>
    </w:p>
    <w:p>
      <w:pPr>
        <w:pStyle w:val="ListBullet"/>
      </w:pPr>
      <w:r>
        <w:t>Actualizar N3 cuando el build obliga a cambiar comportamiento; escalar a N1 si afecta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N1-MVP3-V11-PRD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N1-MVP3-V11-PRD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