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eta"/>
      </w:pPr>
      <w:r>
        <w:t>N2-MVP3-V11-SEN</w:t>
      </w:r>
    </w:p>
    <w:p>
      <w:pPr>
        <w:pStyle w:val="Title"/>
      </w:pPr>
      <w:r>
        <w:t>Process Facts, grafo y Sentinel incremental</w:t>
      </w:r>
    </w:p>
    <w:p>
      <w:pPr>
        <w:pStyle w:val="Subtitle"/>
      </w:pPr>
      <w:r>
        <w:t>Componente funcional · Interconexiones y límites operativos</w:t>
      </w:r>
    </w:p>
    <w:p>
      <w:pPr>
        <w:pStyle w:val="Meta"/>
      </w:pPr>
      <w:r>
        <w:t>Versión 11 · 7 de septiembre de 2026 · Estado documental: definición funcional para validación y ejecución.</w:t>
      </w:r>
    </w:p>
    <w:p>
      <w:pPr>
        <w:pStyle w:val="Small"/>
      </w:pPr>
      <w:r>
        <w:t>Responsables: Producto, CTO, Desarrollo, QA, UX y Operación. Jira/Confluence: registrar enlaces reales al importar; los códigos de este paquete son claves documentales, no tickets creados.</w:t>
      </w:r>
    </w:p>
    <w:p>
      <w:pPr>
        <w:pStyle w:val="Heading2"/>
      </w:pPr>
      <w:r>
        <w:t>Índice de lectura</w:t>
      </w:r>
    </w:p>
    <w:p>
      <w:pPr>
        <w:pStyle w:val="Small"/>
      </w:pPr>
      <w:hyperlink w:anchor="s1">
        <w:r>
          <w:rPr>
            <w:color w:val="6639B7"/>
          </w:rPr>
          <w:t>0. Ficha del componente</w:t>
        </w:r>
      </w:hyperlink>
    </w:p>
    <w:p>
      <w:pPr>
        <w:pStyle w:val="Small"/>
      </w:pPr>
      <w:hyperlink w:anchor="s2">
        <w:r>
          <w:rPr>
            <w:color w:val="6639B7"/>
          </w:rPr>
          <w:t>1. Resumen</w:t>
        </w:r>
      </w:hyperlink>
    </w:p>
    <w:p>
      <w:pPr>
        <w:pStyle w:val="Small"/>
      </w:pPr>
      <w:hyperlink w:anchor="s3">
        <w:r>
          <w:rPr>
            <w:color w:val="6639B7"/>
          </w:rPr>
          <w:t>2. Objetivo funcional</w:t>
        </w:r>
      </w:hyperlink>
    </w:p>
    <w:p>
      <w:pPr>
        <w:pStyle w:val="Small"/>
      </w:pPr>
      <w:hyperlink w:anchor="s4">
        <w:r>
          <w:rPr>
            <w:color w:val="6639B7"/>
          </w:rPr>
          <w:t>3. Casos generales</w:t>
        </w:r>
      </w:hyperlink>
    </w:p>
    <w:p>
      <w:pPr>
        <w:pStyle w:val="Small"/>
      </w:pPr>
      <w:hyperlink w:anchor="s5">
        <w:r>
          <w:rPr>
            <w:color w:val="6639B7"/>
          </w:rPr>
          <w:t>4. Casos específicos</w:t>
        </w:r>
      </w:hyperlink>
    </w:p>
    <w:p>
      <w:pPr>
        <w:pStyle w:val="Small"/>
      </w:pPr>
      <w:hyperlink w:anchor="s6">
        <w:r>
          <w:rPr>
            <w:color w:val="6639B7"/>
          </w:rPr>
          <w:t>5. Flujo e interconexiones</w:t>
        </w:r>
      </w:hyperlink>
    </w:p>
    <w:p>
      <w:pPr>
        <w:pStyle w:val="Small"/>
      </w:pPr>
      <w:hyperlink w:anchor="s7">
        <w:r>
          <w:rPr>
            <w:color w:val="6639B7"/>
          </w:rPr>
          <w:t>6. Reglas principales</w:t>
        </w:r>
      </w:hyperlink>
    </w:p>
    <w:p>
      <w:pPr>
        <w:pStyle w:val="Small"/>
      </w:pPr>
      <w:hyperlink w:anchor="s8">
        <w:r>
          <w:rPr>
            <w:color w:val="6639B7"/>
          </w:rPr>
          <w:t>7. UX y herramientas</w:t>
        </w:r>
      </w:hyperlink>
    </w:p>
    <w:p>
      <w:pPr>
        <w:pStyle w:val="Small"/>
      </w:pPr>
      <w:hyperlink w:anchor="s9">
        <w:r>
          <w:rPr>
            <w:color w:val="6639B7"/>
          </w:rPr>
          <w:t>8. QA general</w:t>
        </w:r>
      </w:hyperlink>
    </w:p>
    <w:p>
      <w:pPr>
        <w:pStyle w:val="Small"/>
      </w:pPr>
      <w:hyperlink w:anchor="s10">
        <w:r>
          <w:rPr>
            <w:color w:val="6639B7"/>
          </w:rPr>
          <w:t>9. N3 y tareas derivadas</w:t>
        </w:r>
      </w:hyperlink>
    </w:p>
    <w:p>
      <w:pPr>
        <w:pStyle w:val="Small"/>
      </w:pPr>
      <w:hyperlink w:anchor="s11">
        <w:r>
          <w:rPr>
            <w:color w:val="6639B7"/>
          </w:rPr>
          <w:t>10. Riesgos y decisiones</w:t>
        </w:r>
      </w:hyperlink>
    </w:p>
    <w:p>
      <w:bookmarkStart w:id="1" w:name="s1"/>
      <w:pPr>
        <w:pStyle w:val="Heading1"/>
      </w:pPr>
      <w:r>
        <w:t>0. Ficha del componente</w:t>
      </w:r>
      <w:bookmarkEnd w:id="1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100"/>
        <w:gridCol w:w="7260"/>
      </w:tblGrid>
      <w:tr>
        <w:trPr>
          <w:cantSplit/>
          <w:tblHeader/>
        </w:trPr>
        <w:tc>
          <w:tcPr>
            <w:tcW w:type="dxa" w:w="21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2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Valor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Estado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CONSTRUIR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MVP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3 · IA avanzada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Padre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N1-MVP3-V11-PRD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Responsable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Product Owner; implementación coordinada por CTO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Roles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AI Governance, Supervisor, Reviewer</w:t>
            </w:r>
          </w:p>
        </w:tc>
      </w:tr>
    </w:tbl>
    <w:p>
      <w:pPr>
        <w:pStyle w:val="Small"/>
      </w:pPr>
    </w:p>
    <w:p>
      <w:bookmarkStart w:id="2" w:name="s2"/>
      <w:pPr>
        <w:pStyle w:val="Heading1"/>
      </w:pPr>
      <w:r>
        <w:t>1. Resumen</w:t>
      </w:r>
      <w:bookmarkEnd w:id="2"/>
    </w:p>
    <w:p>
      <w:r>
        <w:t>Detectar impacto de cambios documentales sobre dependencias y reevaluar sólo reglas afectadas, preservando explicación y control humano.</w:t>
      </w:r>
    </w:p>
    <w:p>
      <w:r>
        <w:t>Una correlación o impacto probable no debe presentarse como error confirmado.</w:t>
      </w:r>
    </w:p>
    <w:p>
      <w:bookmarkStart w:id="3" w:name="s3"/>
      <w:pPr>
        <w:pStyle w:val="Heading1"/>
      </w:pPr>
      <w:r>
        <w:t>2. Objetivo funcional</w:t>
      </w:r>
      <w:bookmarkEnd w:id="3"/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3931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N_ment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Mapa mental: responsabilidades del módulo SEN. Cada rama se desarrolla en una regla y cuatro casos de su N3.</w:t>
      </w:r>
    </w:p>
    <w:p>
      <w:bookmarkStart w:id="4" w:name="s4"/>
      <w:pPr>
        <w:pStyle w:val="Heading1"/>
      </w:pPr>
      <w:r>
        <w:t>3. Casos generales</w:t>
      </w:r>
      <w:bookmarkEnd w:id="4"/>
    </w:p>
    <w:p>
      <w:r>
        <w:t>El módulo interviene cuando nueva versión. Aporta actualizar tareas, con identificación de recurso y evidencia. Si falta contexto o una dependencia falla, conserva el último resultado confirmado y aplica la ruta de revisión.</w:t>
      </w:r>
    </w:p>
    <w:p>
      <w:r>
        <w:t>G-DEMO certifica el core documental existente. El MVP0 comercial ampliado agrega Workflow Core, Studio guiado, terceros, Supervisor v0 y COMEX ejecutable. Email/WhatsApp siguen retirados del core y se incorporan en MVP1 sólo por gate de producto. Firma es MVP1; Marketplace transaccional MVP2; Sentinel/Copilot avanzados MVP3; capacidades enterprise MVP4.</w:t>
      </w:r>
    </w:p>
    <w:p>
      <w:bookmarkStart w:id="5" w:name="s5"/>
      <w:pPr>
        <w:pStyle w:val="Heading1"/>
      </w:pPr>
      <w:r>
        <w:t>4. Casos específicos</w:t>
      </w:r>
      <w:bookmarkEnd w:id="5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4300"/>
        <w:gridCol w:w="5060"/>
      </w:tblGrid>
      <w:tr>
        <w:trPr>
          <w:cantSplit/>
          <w:tblHeader/>
        </w:trPr>
        <w:tc>
          <w:tcPr>
            <w:tcW w:type="dxa" w:w="43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Situación</w:t>
            </w:r>
          </w:p>
        </w:tc>
        <w:tc>
          <w:tcPr>
            <w:tcW w:type="dxa" w:w="50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Resultado verificable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Peso cambia 100 a 120 kg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Fact peso marcado cambiado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Peso afecta factura y aduana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Sólo dependencias de peso seleccionadas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Igualdad de número de factura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Comparación determinista, cero llamadas IA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Peso nuevo supera tolerancia definida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INCUMPLIMIENTO con valores y tolerancia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Primer incumplimiento de regla R sobre objetivo O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Una tarea ABIERTA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v3 llega antes de callback v2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v3 vigente; v2 obsoleta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Diez alertas, ocho verdaderas fixture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80% con IDs fuente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Documento contiene instrucción de omitir controles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Tratar como contenido, no instrucción de sistema</w:t>
            </w:r>
          </w:p>
        </w:tc>
      </w:tr>
    </w:tbl>
    <w:p>
      <w:pPr>
        <w:pStyle w:val="Small"/>
      </w:pPr>
    </w:p>
    <w:p>
      <w:bookmarkStart w:id="6" w:name="s6"/>
      <w:pPr>
        <w:pStyle w:val="Heading1"/>
      </w:pPr>
      <w:r>
        <w:t>5. Flujo e interconexiones</w:t>
      </w:r>
      <w:bookmarkEnd w:id="6"/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42014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N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1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Flujo funcional de SEN; casos de excepción y condiciones precisas en N3.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38404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N_r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Dependencias de contrato. Flechas hacia SEN indican capacidades que consume; no representan orden de despliegue ni llamadas físicas.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200"/>
        <w:gridCol w:w="7160"/>
      </w:tblGrid>
      <w:tr>
        <w:trPr>
          <w:cantSplit/>
          <w:tblHeader/>
        </w:trPr>
        <w:tc>
          <w:tcPr>
            <w:tcW w:type="dxa" w:w="22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Entidad</w:t>
            </w:r>
          </w:p>
        </w:tc>
        <w:tc>
          <w:tcPr>
            <w:tcW w:type="dxa" w:w="71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Información requerida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Fact version</w:t>
            </w:r>
          </w:p>
        </w:tc>
        <w:tc>
          <w:tcPr>
            <w:tcW w:type="dxa" w:w="7160"/>
            <w:vAlign w:val="top"/>
          </w:tcPr>
          <w:p>
            <w:pPr>
              <w:pStyle w:val="TableText"/>
            </w:pPr>
            <w:r>
              <w:t>Valor, unidad, origen, confianza y vigencia.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Dependency edge</w:t>
            </w:r>
          </w:p>
        </w:tc>
        <w:tc>
          <w:tcPr>
            <w:tcW w:type="dxa" w:w="7160"/>
            <w:vAlign w:val="top"/>
          </w:tcPr>
          <w:p>
            <w:pPr>
              <w:pStyle w:val="TableText"/>
            </w:pPr>
            <w:r>
              <w:t>Origen, destino, regla y versión.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Impact assessment</w:t>
            </w:r>
          </w:p>
        </w:tc>
        <w:tc>
          <w:tcPr>
            <w:tcW w:type="dxa" w:w="7160"/>
            <w:vAlign w:val="top"/>
          </w:tcPr>
          <w:p>
            <w:pPr>
              <w:pStyle w:val="TableText"/>
            </w:pPr>
            <w:r>
              <w:t>Cambios, reglas reevaluadas, hallazgos y evidencia.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Task key</w:t>
            </w:r>
          </w:p>
        </w:tc>
        <w:tc>
          <w:tcPr>
            <w:tcW w:type="dxa" w:w="7160"/>
            <w:vAlign w:val="top"/>
          </w:tcPr>
          <w:p>
            <w:pPr>
              <w:pStyle w:val="TableText"/>
            </w:pPr>
            <w:r>
              <w:t>Regla/objetivo para upsert y cierre idempotente.</w:t>
            </w:r>
          </w:p>
        </w:tc>
      </w:tr>
    </w:tbl>
    <w:p>
      <w:pPr>
        <w:pStyle w:val="Small"/>
      </w:pPr>
    </w:p>
    <w:p>
      <w:bookmarkStart w:id="7" w:name="s7"/>
      <w:pPr>
        <w:pStyle w:val="Heading1"/>
      </w:pPr>
      <w:r>
        <w:t>6. Reglas principales</w:t>
      </w:r>
      <w:bookmarkEnd w:id="7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900"/>
        <w:gridCol w:w="6460"/>
      </w:tblGrid>
      <w:tr>
        <w:trPr>
          <w:cantSplit/>
          <w:tblHeader/>
        </w:trPr>
        <w:tc>
          <w:tcPr>
            <w:tcW w:type="dxa" w:w="29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Regla</w:t>
            </w:r>
          </w:p>
        </w:tc>
        <w:tc>
          <w:tcPr>
            <w:tcW w:type="dxa" w:w="64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RE-SEN-01 Diff de facts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Comparar versiones normalizadas; cambio de formato equivalente no dispara impacto funcional.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RE-SEN-02 Dependencias mínimas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Reevaluar sólo consumidores alcanzables de los facts cambiados; no reprocesar todo expediente por defecto.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RE-SEN-03 Comparadores deterministas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Usar comparador determinista cuando resuelve la regla; IA sólo para comparaciones semánticas autorizadas.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RE-SEN-04 Hallazgo explicable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Assessment indica origen, destino, regla y motivo; separar posible impacto de error comprobado.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RE-SEN-05 Tareas idempotentes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Crear/actualizar tarea por regla y objetivo; resolución posterior cierra la misma tarea cuando corresponda.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RE-SEN-06 Orden y concurrencia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La última versión válida gobierna evaluación vigente; callbacks obsoletos no reemplazan hechos más recientes.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RE-SEN-07 Calidad medible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Separar precisión y recall con etiquetas humanas; umbral de release se aprueba antes del piloto y no se fabrica desde pocos ejemplos.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RE-SEN-08 Seguridad y decisión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Sentinel propone y supervisa bajo policy; no modifica reglas ni ejecuta acciones sensibles a partir de texto documental.</w:t>
            </w:r>
          </w:p>
        </w:tc>
      </w:tr>
    </w:tbl>
    <w:p>
      <w:pPr>
        <w:pStyle w:val="Small"/>
      </w:pPr>
    </w:p>
    <w:p>
      <w:bookmarkStart w:id="8" w:name="s8"/>
      <w:pPr>
        <w:pStyle w:val="Heading1"/>
      </w:pPr>
      <w:r>
        <w:t>7. UX y herramientas</w:t>
      </w:r>
      <w:bookmarkEnd w:id="8"/>
    </w:p>
    <w:p>
      <w:r>
        <w:t>Nueva consola de impacto con grafo legible y acceso a campos/documentos origen.</w:t>
      </w:r>
    </w:p>
    <w:p>
      <w:r>
        <w:t>El detalle de campos, mensajes, estados de interfaz, filtros y accesibilidad está en N3.16. No se requiere diseño de interfaz nueva para certificar una función existente que no cambia.</w:t>
      </w:r>
    </w:p>
    <w:p>
      <w:r>
        <w:t>Herramientas interconectadas: SUP, DOC, WFL, GOV; referencia central N0-V11-INTERCONEXIONES.</w:t>
      </w:r>
    </w:p>
    <w:p>
      <w:bookmarkStart w:id="9" w:name="s9"/>
      <w:pPr>
        <w:pStyle w:val="Heading1"/>
      </w:pPr>
      <w:r>
        <w:t>8. QA general</w:t>
      </w:r>
      <w:bookmarkEnd w:id="9"/>
    </w:p>
    <w:p>
      <w:r>
        <w:t>Cubrir ruta válida, permiso denegado, dato faltante, versión, duplicado y fallo de dependencia mediante los 32 QA del N3. Preservar pruebas del core y ejecutar interfaces con infraestructura obligatoria; no aceptar skips como éxito. El gate exige resultados observados, no sólo test plan.</w:t>
      </w:r>
    </w:p>
    <w:p>
      <w:bookmarkStart w:id="10" w:name="s10"/>
      <w:pPr>
        <w:pStyle w:val="Heading1"/>
      </w:pPr>
      <w:r>
        <w:t>9. N3 y tareas derivadas</w:t>
      </w:r>
      <w:bookmarkEnd w:id="10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3800"/>
        <w:gridCol w:w="5560"/>
      </w:tblGrid>
      <w:tr>
        <w:trPr>
          <w:cantSplit/>
          <w:tblHeader/>
        </w:trPr>
        <w:tc>
          <w:tcPr>
            <w:tcW w:type="dxa" w:w="38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Documento</w:t>
            </w:r>
          </w:p>
        </w:tc>
        <w:tc>
          <w:tcPr>
            <w:tcW w:type="dxa" w:w="55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Unidades desarrollables</w:t>
            </w:r>
          </w:p>
        </w:tc>
      </w:tr>
      <w:tr>
        <w:trPr>
          <w:cantSplit/>
        </w:trPr>
        <w:tc>
          <w:tcPr>
            <w:tcW w:type="dxa" w:w="3800"/>
            <w:vAlign w:val="top"/>
          </w:tcPr>
          <w:p>
            <w:pPr>
              <w:pStyle w:val="TableText"/>
            </w:pPr>
            <w:r>
              <w:t>N3-MVP3-V11-SEN</w:t>
            </w:r>
          </w:p>
        </w:tc>
        <w:tc>
          <w:tcPr>
            <w:tcW w:type="dxa" w:w="5560"/>
            <w:vAlign w:val="top"/>
          </w:tcPr>
          <w:p>
            <w:pPr>
              <w:pStyle w:val="TableText"/>
            </w:pPr>
            <w:r>
              <w:t>HU-SEN-01 a 08; 32 CP/QA completos. Cada historia enlaza su sección de regla y escenarios.</w:t>
            </w:r>
          </w:p>
        </w:tc>
      </w:tr>
    </w:tbl>
    <w:p>
      <w:pPr>
        <w:pStyle w:val="Small"/>
      </w:pPr>
    </w:p>
    <w:p>
      <w:r>
        <w:t>Los N3 completos están entregados por módulo. No se pospone el detalle a un listado de documentos futuros; si una historia se divide, conserva el vínculo a la sección funcional correspondiente.</w:t>
      </w:r>
    </w:p>
    <w:p>
      <w:bookmarkStart w:id="11" w:name="s11"/>
      <w:pPr>
        <w:pStyle w:val="Heading1"/>
      </w:pPr>
      <w:r>
        <w:t>10. Riesgos y decisiones</w:t>
      </w:r>
      <w:bookmarkEnd w:id="11"/>
    </w:p>
    <w:p>
      <w:r>
        <w:t>Una correlación o impacto probable no debe presentarse como error confirmado.</w:t>
      </w:r>
    </w:p>
    <w:p>
      <w:r>
        <w:t>Fuera de alcance: No publicar reglas ni ejecutar acciones sensibles sin aprobación humana.</w:t>
      </w:r>
    </w:p>
    <w:p>
      <w:r>
        <w:t>Confirmar políticas del cliente y contratos existentes antes de Ready; registrar decisiones en N3.20. N2 no tiene anexo propio.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t xml:space="preserve">NEXT DOC AI · 07/09/2026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>
      <w:rPr>
        <w:b/>
        <w:color w:val="DA243C"/>
      </w:rPr>
      <w:t>NEXT DOC AI</w:t>
    </w:r>
    <w:r>
      <w:t xml:space="preserve">  /  V11  /  N2-MVP3-V11-SEN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72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72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72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72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9" w:lineRule="auto"/>
    </w:pPr>
    <w:rPr>
      <w:rFonts w:ascii="Calibri" w:hAnsi="Calibri"/>
      <w:color w:val="181C2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6639B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167B8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81C2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59" w:lineRule="auto" w:before="0"/>
      <w:contextualSpacing/>
    </w:pPr>
    <w:rPr>
      <w:rFonts w:asciiTheme="majorHAnsi" w:eastAsiaTheme="majorEastAsia" w:hAnsiTheme="majorHAnsi" w:cstheme="majorBidi" w:ascii="Calibri" w:hAnsi="Calibri"/>
      <w:color w:val="181C2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00" w:line="269" w:lineRule="auto"/>
    </w:pPr>
    <w:rPr>
      <w:rFonts w:asciiTheme="majorHAnsi" w:eastAsiaTheme="majorEastAsia" w:hAnsiTheme="majorHAnsi" w:cstheme="majorBidi" w:ascii="Calibri" w:hAnsi="Calibri"/>
      <w:i/>
      <w:iCs/>
      <w:color w:val="5C657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269" w:lineRule="auto"/>
      <w:contextualSpacing/>
    </w:pPr>
    <w:rPr>
      <w:rFonts w:ascii="Calibri" w:hAnsi="Calibri"/>
      <w:color w:val="181C25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269" w:lineRule="auto"/>
      <w:contextualSpacing/>
    </w:pPr>
    <w:rPr>
      <w:rFonts w:ascii="Calibri" w:hAnsi="Calibri"/>
      <w:color w:val="181C25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2" w:lineRule="auto" w:before="60" w:after="140"/>
    </w:pPr>
    <w:rPr>
      <w:rFonts w:ascii="Calibri" w:hAnsi="Calibri"/>
      <w:b/>
      <w:bCs/>
      <w:color w:val="5C657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Text"/>
    <w:pPr>
      <w:spacing w:after="60" w:line="252" w:lineRule="auto"/>
    </w:pPr>
    <w:rPr>
      <w:rFonts w:ascii="Calibri" w:hAnsi="Calibri"/>
      <w:color w:val="181C25"/>
      <w:sz w:val="18"/>
    </w:rPr>
  </w:style>
  <w:style w:type="paragraph" w:customStyle="1" w:styleId="Small">
    <w:name w:val="Small"/>
    <w:pPr>
      <w:spacing w:after="60" w:line="252" w:lineRule="auto"/>
    </w:pPr>
    <w:rPr>
      <w:rFonts w:ascii="Calibri" w:hAnsi="Calibri"/>
      <w:color w:val="5C6576"/>
      <w:sz w:val="18"/>
    </w:rPr>
  </w:style>
  <w:style w:type="paragraph" w:customStyle="1" w:styleId="Meta">
    <w:name w:val="Meta"/>
    <w:pPr>
      <w:spacing w:after="60" w:line="252" w:lineRule="auto"/>
    </w:pPr>
    <w:rPr>
      <w:rFonts w:ascii="Calibri" w:hAnsi="Calibri"/>
      <w:color w:val="181C25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N2-MVP3-V11-SEN</dc:title>
  <dc:subject>Especificación funcional V11</dc:subject>
  <dc:creator>NEXT DOC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