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eta"/>
      </w:pPr>
      <w:r>
        <w:t>N3-MVP4-V11-ENT</w:t>
      </w:r>
    </w:p>
    <w:p>
      <w:pPr>
        <w:pStyle w:val="Title"/>
      </w:pPr>
      <w:r>
        <w:t>Gobierno e integración enterprise</w:t>
      </w:r>
    </w:p>
    <w:p>
      <w:pPr>
        <w:pStyle w:val="Subtitle"/>
      </w:pPr>
      <w:r>
        <w:t>Detalle funcional por módulo · 32 casos verificables · Reglas, QA y cierre</w:t>
      </w:r>
    </w:p>
    <w:p>
      <w:pPr>
        <w:pStyle w:val="Meta"/>
      </w:pPr>
      <w:r>
        <w:t>Versión 11 · 7 de septiembre de 2026 · Estado documental: definición funcional para validación y ejecución.</w:t>
      </w:r>
    </w:p>
    <w:p>
      <w:pPr>
        <w:pStyle w:val="Small"/>
      </w:pPr>
      <w:r>
        <w:t>Responsables: Producto, CTO, Desarrollo, QA, UX y Operación. Jira/Confluence: registrar enlaces reales al importar; los códigos de este paquete son claves documentales, no tickets creados.</w:t>
      </w:r>
    </w:p>
    <w:p>
      <w:pPr>
        <w:pStyle w:val="Heading2"/>
      </w:pPr>
      <w:r>
        <w:t>Índice de lectura</w:t>
      </w:r>
    </w:p>
    <w:p>
      <w:pPr>
        <w:pStyle w:val="Small"/>
      </w:pPr>
      <w:hyperlink w:anchor="s1">
        <w:r>
          <w:rPr>
            <w:color w:val="6639B7"/>
          </w:rPr>
          <w:t>N3.0 Ficha documental</w:t>
        </w:r>
      </w:hyperlink>
    </w:p>
    <w:p>
      <w:pPr>
        <w:pStyle w:val="Small"/>
      </w:pPr>
      <w:hyperlink w:anchor="s2">
        <w:r>
          <w:rPr>
            <w:color w:val="6639B7"/>
          </w:rPr>
          <w:t>N3.1 Resumen ejecutivo funcional</w:t>
        </w:r>
      </w:hyperlink>
    </w:p>
    <w:p>
      <w:pPr>
        <w:pStyle w:val="Small"/>
      </w:pPr>
      <w:hyperlink w:anchor="s3">
        <w:r>
          <w:rPr>
            <w:color w:val="6639B7"/>
          </w:rPr>
          <w:t>N3.2 Contexto mínimo heredado</w:t>
        </w:r>
      </w:hyperlink>
    </w:p>
    <w:p>
      <w:pPr>
        <w:pStyle w:val="Small"/>
      </w:pPr>
      <w:hyperlink w:anchor="s4">
        <w:r>
          <w:rPr>
            <w:color w:val="6639B7"/>
          </w:rPr>
          <w:t>N3.3 Objetivo funcional exacto</w:t>
        </w:r>
      </w:hyperlink>
    </w:p>
    <w:p>
      <w:pPr>
        <w:pStyle w:val="Small"/>
      </w:pPr>
      <w:hyperlink w:anchor="s5">
        <w:r>
          <w:rPr>
            <w:color w:val="6639B7"/>
          </w:rPr>
          <w:t>N3.4 Alcance y dependencias</w:t>
        </w:r>
      </w:hyperlink>
    </w:p>
    <w:p>
      <w:pPr>
        <w:pStyle w:val="Small"/>
      </w:pPr>
      <w:hyperlink w:anchor="s6">
        <w:r>
          <w:rPr>
            <w:color w:val="6639B7"/>
          </w:rPr>
          <w:t>N3.5 Mapa funcional de extremo a extremo</w:t>
        </w:r>
      </w:hyperlink>
    </w:p>
    <w:p>
      <w:pPr>
        <w:pStyle w:val="Small"/>
      </w:pPr>
      <w:hyperlink w:anchor="s7">
        <w:r>
          <w:rPr>
            <w:color w:val="6639B7"/>
          </w:rPr>
          <w:t>N3.6 Reglas generales comentadas</w:t>
        </w:r>
      </w:hyperlink>
    </w:p>
    <w:p>
      <w:pPr>
        <w:pStyle w:val="Small"/>
      </w:pPr>
      <w:hyperlink w:anchor="s8">
        <w:r>
          <w:rPr>
            <w:color w:val="6639B7"/>
          </w:rPr>
          <w:t>N3.7 Reglas específicas del módulo</w:t>
        </w:r>
      </w:hyperlink>
    </w:p>
    <w:p>
      <w:pPr>
        <w:pStyle w:val="Small"/>
      </w:pPr>
      <w:hyperlink w:anchor="s9">
        <w:r>
          <w:rPr>
            <w:color w:val="6639B7"/>
          </w:rPr>
          <w:t>N3.8 Datos, entidades y campos</w:t>
        </w:r>
      </w:hyperlink>
    </w:p>
    <w:p>
      <w:pPr>
        <w:pStyle w:val="Small"/>
      </w:pPr>
      <w:hyperlink w:anchor="s10">
        <w:r>
          <w:rPr>
            <w:color w:val="6639B7"/>
          </w:rPr>
          <w:t>N3.9 Estados y transiciones</w:t>
        </w:r>
      </w:hyperlink>
    </w:p>
    <w:p>
      <w:pPr>
        <w:pStyle w:val="Small"/>
      </w:pPr>
      <w:hyperlink w:anchor="s11">
        <w:r>
          <w:rPr>
            <w:color w:val="6639B7"/>
          </w:rPr>
          <w:t>N3.10 Casos generales de negocio</w:t>
        </w:r>
      </w:hyperlink>
    </w:p>
    <w:p>
      <w:pPr>
        <w:pStyle w:val="Small"/>
      </w:pPr>
      <w:hyperlink w:anchor="s12">
        <w:r>
          <w:rPr>
            <w:color w:val="6639B7"/>
          </w:rPr>
          <w:t>N3.11 Casos particulares y pruebas específicas</w:t>
        </w:r>
      </w:hyperlink>
    </w:p>
    <w:p>
      <w:pPr>
        <w:pStyle w:val="Small"/>
      </w:pPr>
      <w:hyperlink w:anchor="s13">
        <w:r>
          <w:rPr>
            <w:color w:val="6639B7"/>
          </w:rPr>
          <w:t>N3.12 Historias y criterios de aceptación</w:t>
        </w:r>
      </w:hyperlink>
    </w:p>
    <w:p>
      <w:pPr>
        <w:pStyle w:val="Small"/>
      </w:pPr>
      <w:hyperlink w:anchor="s14">
        <w:r>
          <w:rPr>
            <w:color w:val="6639B7"/>
          </w:rPr>
          <w:t>N3.13 QA automatizado y SPR083</w:t>
        </w:r>
      </w:hyperlink>
    </w:p>
    <w:p>
      <w:pPr>
        <w:pStyle w:val="Small"/>
      </w:pPr>
      <w:hyperlink w:anchor="s15">
        <w:r>
          <w:rPr>
            <w:color w:val="6639B7"/>
          </w:rPr>
          <w:t>N3.14 Diseño de cada caso QA</w:t>
        </w:r>
      </w:hyperlink>
    </w:p>
    <w:p>
      <w:pPr>
        <w:pStyle w:val="Small"/>
      </w:pPr>
      <w:hyperlink w:anchor="s16">
        <w:r>
          <w:rPr>
            <w:color w:val="6639B7"/>
          </w:rPr>
          <w:t>N3.15 Fixtures y ambientes</w:t>
        </w:r>
      </w:hyperlink>
    </w:p>
    <w:p>
      <w:pPr>
        <w:pStyle w:val="Small"/>
      </w:pPr>
      <w:hyperlink w:anchor="s17">
        <w:r>
          <w:rPr>
            <w:color w:val="6639B7"/>
          </w:rPr>
          <w:t>N3.16 UX/UI y prototipos</w:t>
        </w:r>
      </w:hyperlink>
    </w:p>
    <w:p>
      <w:pPr>
        <w:pStyle w:val="Small"/>
      </w:pPr>
      <w:hyperlink w:anchor="s18">
        <w:r>
          <w:rPr>
            <w:color w:val="6639B7"/>
          </w:rPr>
          <w:t>N3.17 Análisis con Devin</w:t>
        </w:r>
      </w:hyperlink>
    </w:p>
    <w:p>
      <w:pPr>
        <w:pStyle w:val="Small"/>
      </w:pPr>
      <w:hyperlink w:anchor="s19">
        <w:r>
          <w:rPr>
            <w:color w:val="6639B7"/>
          </w:rPr>
          <w:t>N3.18 Guía CTO, Jira y estimación</w:t>
        </w:r>
      </w:hyperlink>
    </w:p>
    <w:p>
      <w:pPr>
        <w:pStyle w:val="Small"/>
      </w:pPr>
      <w:hyperlink w:anchor="s20">
        <w:r>
          <w:rPr>
            <w:color w:val="6639B7"/>
          </w:rPr>
          <w:t>N3.19 Definition of Ready y Done</w:t>
        </w:r>
      </w:hyperlink>
    </w:p>
    <w:p>
      <w:pPr>
        <w:pStyle w:val="Small"/>
      </w:pPr>
      <w:hyperlink w:anchor="s21">
        <w:r>
          <w:rPr>
            <w:color w:val="6639B7"/>
          </w:rPr>
          <w:t>N3.20 Riesgos, bloqueos y decisiones</w:t>
        </w:r>
      </w:hyperlink>
    </w:p>
    <w:p>
      <w:pPr>
        <w:pStyle w:val="Small"/>
      </w:pPr>
      <w:hyperlink w:anchor="s22">
        <w:r>
          <w:rPr>
            <w:color w:val="6639B7"/>
          </w:rPr>
          <w:t>N3.21 Anexo sugerido a Sistemas</w:t>
        </w:r>
      </w:hyperlink>
    </w:p>
    <w:p>
      <w:bookmarkStart w:id="1" w:name="s1"/>
      <w:pPr>
        <w:pStyle w:val="Heading1"/>
      </w:pPr>
      <w:r>
        <w:t>N3.0 Ficha documental</w:t>
      </w:r>
      <w:bookmarkEnd w:id="1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MVP / Epic documental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4 · Enterprise Scale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Estado de implementación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CONSTRUIR bajo demanda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Unidad desarrollable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Ocho historias funcionales HU-ENT-01 a 08; cada una usa la sección de reglas y los cuatro CP/QA asociados de este N3.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Responsables de lectura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Enterprise Admin, Security, SRE, Auditor; Programador, QA Automation, UX, CTO, PO y Scrum.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Padres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N0-V11-SISTEMA; N1-MVP4-V11-PRD; N2-MVP4-V11-ENT</w:t>
            </w:r>
          </w:p>
        </w:tc>
      </w:tr>
    </w:tbl>
    <w:p>
      <w:pPr>
        <w:pStyle w:val="Small"/>
      </w:pPr>
    </w:p>
    <w:p>
      <w:bookmarkStart w:id="2" w:name="s2"/>
      <w:pPr>
        <w:pStyle w:val="Heading1"/>
      </w:pPr>
      <w:r>
        <w:t>N3.1 Resumen ejecutivo funcional</w:t>
      </w:r>
      <w:bookmarkEnd w:id="2"/>
    </w:p>
    <w:p>
      <w:r>
        <w:t>Configurar aislamiento, residencia, identidad y políticas de grandes cuentas con evidencia contractual y permisos coherentes en todos los módulos.</w:t>
      </w:r>
    </w:p>
    <w:p>
      <w:r>
        <w:t>CONSTRUIR bajo demanda. Private cloud y multi-región requieren caso comercial; no se consideran capacidades actuales.</w:t>
      </w:r>
    </w:p>
    <w:p>
      <w:r>
        <w:t>El módulo se divide por reglas de negocio observables, no por capas técnicas. Una regla con interfaz y persistencia se cierra sólo cuando ambos resultados y sus pruebas están completos. Los criterios siguientes evitan que un título de historia sustituya al comportamiento esperado.</w:t>
      </w:r>
    </w:p>
    <w:p>
      <w:bookmarkStart w:id="3" w:name="s3"/>
      <w:pPr>
        <w:pStyle w:val="Heading1"/>
      </w:pPr>
      <w:r>
        <w:t>N3.2 Contexto mínimo heredado</w:t>
      </w:r>
      <w:bookmarkEnd w:id="3"/>
    </w:p>
    <w:p>
      <w:r>
        <w:t>G-DEMO certifica el core documental existente. El MVP0 comercial ampliado agrega Workflow Core, Studio guiado, terceros, Supervisor v0 y COMEX ejecutable. Email/WhatsApp siguen retirados del core y se incorporan en MVP1 sólo por gate de producto. Firma es MVP1; Marketplace transaccional MVP2; Sentinel/Copilot avanzados MVP3; capacidades enterprise MVP4.</w:t>
      </w:r>
    </w:p>
    <w:p>
      <w:r>
        <w:t>Dependencias de contrato: IAM, GOV, REL. Estas referencias describen servicios funcionales; no imponen microservicios separados. La matriz de interconexión distingue contrato de datos y orden de construcción.</w:t>
      </w:r>
    </w:p>
    <w:p>
      <w:bookmarkStart w:id="4" w:name="s4"/>
      <w:pPr>
        <w:pStyle w:val="Heading1"/>
      </w:pPr>
      <w:r>
        <w:t>N3.3 Objetivo funcional exacto</w:t>
      </w:r>
      <w:bookmarkEnd w:id="4"/>
    </w:p>
    <w:p>
      <w:r>
        <w:t>Configurar aislamiento, residencia, identidad y políticas de grandes cuentas con evidencia contractual y permisos coherentes en todos los módulos.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000"/>
        <w:gridCol w:w="7360"/>
      </w:tblGrid>
      <w:tr>
        <w:trPr>
          <w:cantSplit/>
          <w:tblHeader/>
        </w:trPr>
        <w:tc>
          <w:tcPr>
            <w:tcW w:type="dxa" w:w="20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Resultado</w:t>
            </w:r>
          </w:p>
        </w:tc>
        <w:tc>
          <w:tcPr>
            <w:tcW w:type="dxa" w:w="7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Criterio observable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Visible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Nueva consola enterprise con políticas y evidencia; no exponer secretos ni tenants de terceros.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Registrado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Recurso del módulo, estado final, actor, tenant, fecha, versión y motivo; salida de cada CP comprobable.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Éxito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32 casos CP/QA con resultado documentado; bloqueantes resueltos; regresión de dependencias sin degradación.</w:t>
            </w:r>
          </w:p>
        </w:tc>
      </w:tr>
    </w:tbl>
    <w:p>
      <w:pPr>
        <w:pStyle w:val="Small"/>
      </w:pPr>
    </w:p>
    <w:p>
      <w:bookmarkStart w:id="5" w:name="s5"/>
      <w:pPr>
        <w:pStyle w:val="Heading1"/>
      </w:pPr>
      <w:r>
        <w:t>N3.4 Alcance y dependencias</w:t>
      </w:r>
      <w:bookmarkEnd w:id="5"/>
    </w:p>
    <w:p>
      <w:pPr>
        <w:pStyle w:val="ListBullet"/>
      </w:pPr>
      <w:r>
        <w:t>Perfil contractual</w:t>
      </w:r>
    </w:p>
    <w:p>
      <w:pPr>
        <w:pStyle w:val="ListBullet"/>
      </w:pPr>
      <w:r>
        <w:t>Residencia integral</w:t>
      </w:r>
    </w:p>
    <w:p>
      <w:pPr>
        <w:pStyle w:val="ListBullet"/>
      </w:pPr>
      <w:r>
        <w:t>SSO enterprise</w:t>
      </w:r>
    </w:p>
    <w:p>
      <w:pPr>
        <w:pStyle w:val="ListBullet"/>
      </w:pPr>
      <w:r>
        <w:t>Acceso de emergencia</w:t>
      </w:r>
    </w:p>
    <w:p>
      <w:pPr>
        <w:pStyle w:val="ListBullet"/>
      </w:pPr>
      <w:r>
        <w:t>Conectividad privada</w:t>
      </w:r>
    </w:p>
    <w:p>
      <w:pPr>
        <w:pStyle w:val="ListBullet"/>
      </w:pPr>
      <w:r>
        <w:t>Gobierno de datos</w:t>
      </w:r>
    </w:p>
    <w:p>
      <w:pPr>
        <w:pStyle w:val="ListBullet"/>
      </w:pPr>
      <w:r>
        <w:t>FinOps enterprise</w:t>
      </w:r>
    </w:p>
    <w:p>
      <w:pPr>
        <w:pStyle w:val="ListBullet"/>
      </w:pPr>
      <w:r>
        <w:t>Aceptación verificable</w:t>
      </w:r>
    </w:p>
    <w:p>
      <w:r>
        <w:t>Fuera de alcance: No prometer métricas contractuales sin medición ni habilitar regiones sin autorización.</w:t>
      </w:r>
    </w:p>
    <w:p>
      <w:r>
        <w:t>Negocio: aprobar configuración aplicable del tenant antes de activar. UX: Nueva consola enterprise con políticas y evidencia; no exponer secretos ni tenants de terceros.</w:t>
      </w:r>
    </w:p>
    <w:p>
      <w:r>
        <w:t>QA: usar fixtures FX-ENT-01 a 32, tenant A/B, permisos positivos/negativos y reloj controlado. Sistemas confirma contratos físicos y compatibilidad de migraciones antes de implementar.</w:t>
      </w:r>
    </w:p>
    <w:p>
      <w:bookmarkStart w:id="6" w:name="s6"/>
      <w:pPr>
        <w:pStyle w:val="Heading1"/>
      </w:pPr>
      <w:r>
        <w:t>N3.5 Mapa funcional de extremo a extremo</w:t>
      </w:r>
      <w:bookmarkEnd w:id="6"/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4201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Flujo ENT: entrada, validación, salida y tratamiento de excepción. Las rutas específicas se precisan en RE y CP.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600"/>
        <w:gridCol w:w="3900"/>
        <w:gridCol w:w="4860"/>
      </w:tblGrid>
      <w:tr>
        <w:trPr>
          <w:cantSplit/>
          <w:tblHeader/>
        </w:trPr>
        <w:tc>
          <w:tcPr>
            <w:tcW w:type="dxa" w:w="6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Paso</w:t>
            </w:r>
          </w:p>
        </w:tc>
        <w:tc>
          <w:tcPr>
            <w:tcW w:type="dxa" w:w="39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Entrada y acción</w:t>
            </w:r>
          </w:p>
        </w:tc>
        <w:tc>
          <w:tcPr>
            <w:tcW w:type="dxa" w:w="48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Salida / evidencia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Definir perfil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Enterprise Admin. Entrada: Enterprise profile. Salida: Requisitos de residencia e identidad. Evidencia: correlación, revisión, actor y resultado de la acción.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2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Validar topología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Enterprise Admin. Entrada: Requisitos de residencia e identidad. Salida: Topología permitida y coste estimado. Evidencia: correlación, revisión, actor y resultado de la acción.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3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Configurar identidad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Enterprise Admin. Entrada: Topología permitida y coste estimado. Salida: Identidad federada y permisos verificables. Evidencia: correlación, revisión, actor y resultado de la acción.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4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Restringir rutas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Enterprise Admin. Entrada: Identidad federada y permisos verificables. Salida: Rutas y conectividad con denegaciones probadas. Evidencia: correlación, revisión, actor y resultado de la acción.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5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Ejecutar controles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Enterprise Admin. Entrada: Rutas y conectividad con denegaciones probadas. Salida: Evidencias de aislamiento y observabilidad. Evidencia: correlación, revisión, actor y resultado de la acción.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6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Aceptar servicio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Enterprise Admin. Entrada: Evidencias de aislamiento y observabilidad. Salida: Acta con SLA medido y responsables. Evidencia: correlación, revisión, actor y resultado de la acción.</w:t>
            </w:r>
          </w:p>
        </w:tc>
      </w:tr>
    </w:tbl>
    <w:p>
      <w:pPr>
        <w:pStyle w:val="Small"/>
      </w:pPr>
    </w:p>
    <w:p>
      <w:bookmarkStart w:id="7" w:name="s7"/>
      <w:pPr>
        <w:pStyle w:val="Heading1"/>
      </w:pPr>
      <w:r>
        <w:t>N3.6 Reglas generales comentadas</w:t>
      </w:r>
      <w:bookmarkEnd w:id="7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950"/>
        <w:gridCol w:w="8410"/>
      </w:tblGrid>
      <w:tr>
        <w:trPr>
          <w:cantSplit/>
          <w:tblHeader/>
        </w:trPr>
        <w:tc>
          <w:tcPr>
            <w:tcW w:type="dxa" w:w="95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841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Regla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RG-01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Resolver tenant, identidad y permiso antes de leer o mutar recursos. La autorización del host no sustituye la autorización de NEXT.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RG-02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Conservar versión de definición, política, documento y evidencia usada en decisiones. No sobrescribir historia.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RG-03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Reintentos y concurrencia no repiten un efecto confirmado; clave de idempotencia y revisión de recurso deben comprobarse.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RG-04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No confirmar éxito antes de persistir resultado; errores muestran causa recuperable o denegación sin exponer datos ajenos.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RG-05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El contenido documental se trata como datos no confiables; no ejecuta instrucciones para cambiar permisos o políticas.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RG-06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La evidencia de aceptación se obtiene ejecutando casos. Estado funcional objetivo no significa implementación o prueba aprobada.</w:t>
            </w:r>
          </w:p>
        </w:tc>
      </w:tr>
    </w:tbl>
    <w:p>
      <w:pPr>
        <w:pStyle w:val="Small"/>
      </w:pPr>
    </w:p>
    <w:p>
      <w:r>
        <w:t>Razón operativa: estos controles protegen aislamiento, reproducción histórica y continuidad cuando varios actores o workers actúan sobre la misma entidad.</w:t>
      </w:r>
    </w:p>
    <w:p>
      <w:bookmarkStart w:id="8" w:name="s8"/>
      <w:pPr>
        <w:pStyle w:val="Heading1"/>
      </w:pPr>
      <w:r>
        <w:t>N3.7 Reglas específicas del módulo</w:t>
      </w:r>
      <w:bookmarkEnd w:id="8"/>
    </w:p>
    <w:p>
      <w:pPr>
        <w:pStyle w:val="Heading2"/>
      </w:pPr>
      <w:r>
        <w:t>RE-ENT-01 · Perfil contractual</w:t>
      </w:r>
    </w:p>
    <w:p>
      <w:r>
        <w:t>Definir requisitos antes de diseñar despliegue; sin contrato de objetivos no prometer SLA ni residencia específica.</w:t>
      </w:r>
    </w:p>
    <w:p>
      <w:pPr>
        <w:pStyle w:val="Small"/>
      </w:pPr>
      <w:r>
        <w:t>Validación: QA-ENT-01 a QA-ENT-04. La primera prueba confirma la ruta habilitada y las restantes ejercitan límites, alternativas o fallos concretos.</w:t>
      </w:r>
    </w:p>
    <w:p>
      <w:pPr>
        <w:pStyle w:val="Heading2"/>
      </w:pPr>
      <w:r>
        <w:t>RE-ENT-02 · Residencia integral</w:t>
      </w:r>
    </w:p>
    <w:p>
      <w:r>
        <w:t>Residencia incluye originales, derivados, índices, logs sensibles y backups; política se aplica también a proveedores IA.</w:t>
      </w:r>
    </w:p>
    <w:p>
      <w:pPr>
        <w:pStyle w:val="Small"/>
      </w:pPr>
      <w:r>
        <w:t>Validación: QA-ENT-05 a QA-ENT-08. La primera prueba confirma la ruta habilitada y las restantes ejercitan límites, alternativas o fallos concretos.</w:t>
      </w:r>
    </w:p>
    <w:p>
      <w:pPr>
        <w:pStyle w:val="Heading2"/>
      </w:pPr>
      <w:r>
        <w:t>RE-ENT-03 · SSO enterprise</w:t>
      </w:r>
    </w:p>
    <w:p>
      <w:r>
        <w:t>Mapear grupos a roles gobernados sin confiar en grupos arbitrarios; mantener revocación y administrador de emergencia controlado.</w:t>
      </w:r>
    </w:p>
    <w:p>
      <w:pPr>
        <w:pStyle w:val="Small"/>
      </w:pPr>
      <w:r>
        <w:t>Validación: QA-ENT-09 a QA-ENT-12. La primera prueba confirma la ruta habilitada y las restantes ejercitan límites, alternativas o fallos concretos.</w:t>
      </w:r>
    </w:p>
    <w:p>
      <w:pPr>
        <w:pStyle w:val="Heading2"/>
      </w:pPr>
      <w:r>
        <w:t>RE-ENT-04 · Acceso de emergencia</w:t>
      </w:r>
    </w:p>
    <w:p>
      <w:r>
        <w:t>Acceso excepcional tiene motivo, TTL y revisión posterior; no cuenta compartida sin trazabilidad.</w:t>
      </w:r>
    </w:p>
    <w:p>
      <w:pPr>
        <w:pStyle w:val="Small"/>
      </w:pPr>
      <w:r>
        <w:t>Validación: QA-ENT-13 a QA-ENT-16. La primera prueba confirma la ruta habilitada y las restantes ejercitan límites, alternativas o fallos concretos.</w:t>
      </w:r>
    </w:p>
    <w:p>
      <w:pPr>
        <w:pStyle w:val="Heading2"/>
      </w:pPr>
      <w:r>
        <w:t>RE-ENT-05 · Conectividad privada</w:t>
      </w:r>
    </w:p>
    <w:p>
      <w:r>
        <w:t>Validar origen y autorización funcional; red privada no sustituye tenant/rol. Failover mantiene restricciones.</w:t>
      </w:r>
    </w:p>
    <w:p>
      <w:pPr>
        <w:pStyle w:val="Small"/>
      </w:pPr>
      <w:r>
        <w:t>Validación: QA-ENT-17 a QA-ENT-20. La primera prueba confirma la ruta habilitada y las restantes ejercitan límites, alternativas o fallos concretos.</w:t>
      </w:r>
    </w:p>
    <w:p>
      <w:pPr>
        <w:pStyle w:val="Heading2"/>
      </w:pPr>
      <w:r>
        <w:t>RE-ENT-06 · Gobierno de datos</w:t>
      </w:r>
    </w:p>
    <w:p>
      <w:r>
        <w:t>Aplicar retención, export y hold al perfil sin debilitar obligaciones superiores; resolver conflictos explícitamente.</w:t>
      </w:r>
    </w:p>
    <w:p>
      <w:pPr>
        <w:pStyle w:val="Small"/>
      </w:pPr>
      <w:r>
        <w:t>Validación: QA-ENT-21 a QA-ENT-24. La primera prueba confirma la ruta habilitada y las restantes ejercitan límites, alternativas o fallos concretos.</w:t>
      </w:r>
    </w:p>
    <w:p>
      <w:pPr>
        <w:pStyle w:val="Heading2"/>
      </w:pPr>
      <w:r>
        <w:t>RE-ENT-07 · FinOps enterprise</w:t>
      </w:r>
    </w:p>
    <w:p>
      <w:r>
        <w:t>Imputar costos y cuotas por servicio/tenant sin mezclar presupuestos; dashboards explican períodos y fuentes.</w:t>
      </w:r>
    </w:p>
    <w:p>
      <w:pPr>
        <w:pStyle w:val="Small"/>
      </w:pPr>
      <w:r>
        <w:t>Validación: QA-ENT-25 a QA-ENT-28. La primera prueba confirma la ruta habilitada y las restantes ejercitan límites, alternativas o fallos concretos.</w:t>
      </w:r>
    </w:p>
    <w:p>
      <w:pPr>
        <w:pStyle w:val="Heading2"/>
      </w:pPr>
      <w:r>
        <w:t>RE-ENT-08 · Aceptación verificable</w:t>
      </w:r>
    </w:p>
    <w:p>
      <w:r>
        <w:t>El perfil se acepta contra controles ejecutados, no sólo documento de arquitectura. Registrar límites y decisiones contractuales pendientes.</w:t>
      </w:r>
    </w:p>
    <w:p>
      <w:pPr>
        <w:pStyle w:val="Small"/>
      </w:pPr>
      <w:r>
        <w:t>Validación: QA-ENT-29 a QA-ENT-32. La primera prueba confirma la ruta habilitada y las restantes ejercitan límites, alternativas o fallos concretos.</w:t>
      </w:r>
    </w:p>
    <w:p>
      <w:bookmarkStart w:id="9" w:name="s9"/>
      <w:pPr>
        <w:pStyle w:val="Heading1"/>
      </w:pPr>
      <w:r>
        <w:t>N3.8 Datos, entidades y campos</w:t>
      </w:r>
      <w:bookmarkEnd w:id="9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Entidad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Origen, contenido y validación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Enterprise profile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Regiones permitidas, proveedores, SSO y política contractual.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Access policy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Roles, grupos, sesiones, scopes y excepciones aprobadas.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Data route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Ubicación de original, derivados, backup y proveedores.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Compliance evidence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Configuración, controles ejecutados y owner; no certificación legal automática.</w:t>
            </w:r>
          </w:p>
        </w:tc>
      </w:tr>
    </w:tbl>
    <w:p>
      <w:pPr>
        <w:pStyle w:val="Small"/>
      </w:pP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 transversal</w:t>
            </w:r>
          </w:p>
        </w:tc>
        <w:tc>
          <w:tcPr>
            <w:tcW w:type="dxa" w:w="69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Obligatoriedad / validación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tenant_ref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Siempre; autorizado por IAM en la acción, no inferido de un nombre.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resource_ref + revision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Siempre en mutaciones; revisión leída debe coincidir con la vigente.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correlation_ref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En ingreso y propagación; unir evento, job, resultado y audit.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reason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Obligatorio para corrección, rechazo, dispensa, cancelación y acceso excepcional.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effective_at / occurred_at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Instante servidor y fecha del hecho diferenciados; conservar zona para interpretación.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policy_version / definition_version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Cuando intervienen; fijadas en evaluación y reconstruibles.</w:t>
            </w:r>
          </w:p>
        </w:tc>
      </w:tr>
    </w:tbl>
    <w:p>
      <w:pPr>
        <w:pStyle w:val="Small"/>
      </w:pPr>
    </w:p>
    <w:p>
      <w:bookmarkStart w:id="10" w:name="s10"/>
      <w:pPr>
        <w:pStyle w:val="Heading1"/>
      </w:pPr>
      <w:r>
        <w:t>N3.9 Estados y transiciones</w:t>
      </w:r>
      <w:bookmarkEnd w:id="10"/>
    </w:p>
    <w:p>
      <w:r>
        <w:t>Vocabulario funcional objetivo. Sistemas debe mapearlo a estados existentes cuando correspondan, sin renombrar o migrar datos por mera diferencia de etiqueta. Una salida CP que describe una denegación es resultado de acción, no un nuevo estado persistente obligatorio.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200"/>
        <w:gridCol w:w="3800"/>
        <w:gridCol w:w="3360"/>
      </w:tblGrid>
      <w:tr>
        <w:trPr>
          <w:cantSplit/>
          <w:tblHeader/>
        </w:trPr>
        <w:tc>
          <w:tcPr>
            <w:tcW w:type="dxa" w:w="22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Origen</w:t>
            </w:r>
          </w:p>
        </w:tc>
        <w:tc>
          <w:tcPr>
            <w:tcW w:type="dxa" w:w="38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Disparador / condición</w:t>
            </w:r>
          </w:p>
        </w:tc>
        <w:tc>
          <w:tcPr>
            <w:tcW w:type="dxa" w:w="3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Destino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SOLICITADO</w:t>
            </w:r>
          </w:p>
        </w:tc>
        <w:tc>
          <w:tcPr>
            <w:tcW w:type="dxa" w:w="3800"/>
            <w:vAlign w:val="top"/>
          </w:tcPr>
          <w:p>
            <w:pPr>
              <w:pStyle w:val="TableText"/>
            </w:pPr>
            <w:r>
              <w:t>perfil acordado</w:t>
            </w:r>
          </w:p>
        </w:tc>
        <w:tc>
          <w:tcPr>
            <w:tcW w:type="dxa" w:w="3360"/>
            <w:vAlign w:val="top"/>
          </w:tcPr>
          <w:p>
            <w:pPr>
              <w:pStyle w:val="TableText"/>
            </w:pPr>
            <w:r>
              <w:t>CONFIGURADO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CONFIGURADO</w:t>
            </w:r>
          </w:p>
        </w:tc>
        <w:tc>
          <w:tcPr>
            <w:tcW w:type="dxa" w:w="3800"/>
            <w:vAlign w:val="top"/>
          </w:tcPr>
          <w:p>
            <w:pPr>
              <w:pStyle w:val="TableText"/>
            </w:pPr>
            <w:r>
              <w:t>validación</w:t>
            </w:r>
          </w:p>
        </w:tc>
        <w:tc>
          <w:tcPr>
            <w:tcW w:type="dxa" w:w="3360"/>
            <w:vAlign w:val="top"/>
          </w:tcPr>
          <w:p>
            <w:pPr>
              <w:pStyle w:val="TableText"/>
            </w:pPr>
            <w:r>
              <w:t>VALIDADO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VALIDADO</w:t>
            </w:r>
          </w:p>
        </w:tc>
        <w:tc>
          <w:tcPr>
            <w:tcW w:type="dxa" w:w="3800"/>
            <w:vAlign w:val="top"/>
          </w:tcPr>
          <w:p>
            <w:pPr>
              <w:pStyle w:val="TableText"/>
            </w:pPr>
            <w:r>
              <w:t>aceptación</w:t>
            </w:r>
          </w:p>
        </w:tc>
        <w:tc>
          <w:tcPr>
            <w:tcW w:type="dxa" w:w="3360"/>
            <w:vAlign w:val="top"/>
          </w:tcPr>
          <w:p>
            <w:pPr>
              <w:pStyle w:val="TableText"/>
            </w:pPr>
            <w:r>
              <w:t>ACTIVO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ACTIVO</w:t>
            </w:r>
          </w:p>
        </w:tc>
        <w:tc>
          <w:tcPr>
            <w:tcW w:type="dxa" w:w="3800"/>
            <w:vAlign w:val="top"/>
          </w:tcPr>
          <w:p>
            <w:pPr>
              <w:pStyle w:val="TableText"/>
            </w:pPr>
            <w:r>
              <w:t>incumplimiento crítico</w:t>
            </w:r>
          </w:p>
        </w:tc>
        <w:tc>
          <w:tcPr>
            <w:tcW w:type="dxa" w:w="3360"/>
            <w:vAlign w:val="top"/>
          </w:tcPr>
          <w:p>
            <w:pPr>
              <w:pStyle w:val="TableText"/>
            </w:pPr>
            <w:r>
              <w:t>RESTRINGIDO</w:t>
            </w:r>
          </w:p>
        </w:tc>
      </w:tr>
    </w:tbl>
    <w:p>
      <w:pPr>
        <w:pStyle w:val="Small"/>
      </w:pPr>
    </w:p>
    <w:p>
      <w:r>
        <w:t>Semáforos: verde = condición satisfecha; ámbar = revisión o espera; rojo = bloqueo o fallo; gris = no iniciado/no aplicable. El texto del estado es obligatorio para accesibilidad.</w:t>
      </w:r>
    </w:p>
    <w:p>
      <w:bookmarkStart w:id="11" w:name="s11"/>
      <w:pPr>
        <w:pStyle w:val="Heading1"/>
      </w:pPr>
      <w:r>
        <w:t>N3.10 Casos generales de negocio</w:t>
      </w:r>
      <w:bookmarkEnd w:id="11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1450"/>
        <w:gridCol w:w="7910"/>
      </w:tblGrid>
      <w:tr>
        <w:trPr>
          <w:cantSplit/>
          <w:tblHeader/>
        </w:trPr>
        <w:tc>
          <w:tcPr>
            <w:tcW w:type="dxa" w:w="145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791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Caso y resultado de negocio</w:t>
            </w:r>
          </w:p>
        </w:tc>
      </w:tr>
      <w:tr>
        <w:trPr>
          <w:cantSplit/>
        </w:trPr>
        <w:tc>
          <w:tcPr>
            <w:tcW w:type="dxa" w:w="1450"/>
            <w:vAlign w:val="top"/>
          </w:tcPr>
          <w:p>
            <w:pPr>
              <w:pStyle w:val="TableText"/>
            </w:pPr>
            <w:r>
              <w:t>CBG-ENT-01</w:t>
            </w:r>
          </w:p>
        </w:tc>
        <w:tc>
          <w:tcPr>
            <w:tcW w:type="dxa" w:w="7910"/>
            <w:vAlign w:val="top"/>
          </w:tcPr>
          <w:p>
            <w:pPr>
              <w:pStyle w:val="TableText"/>
            </w:pPr>
            <w:r>
              <w:t>Configurar aislamiento, residencia, identidad y políticas de grandes cuentas con evidencia contractual y permisos coherentes en todos los módulos.</w:t>
            </w:r>
          </w:p>
        </w:tc>
      </w:tr>
      <w:tr>
        <w:trPr>
          <w:cantSplit/>
        </w:trPr>
        <w:tc>
          <w:tcPr>
            <w:tcW w:type="dxa" w:w="1450"/>
            <w:vAlign w:val="top"/>
          </w:tcPr>
          <w:p>
            <w:pPr>
              <w:pStyle w:val="TableText"/>
            </w:pPr>
            <w:r>
              <w:t>CBG-ENT-02</w:t>
            </w:r>
          </w:p>
        </w:tc>
        <w:tc>
          <w:tcPr>
            <w:tcW w:type="dxa" w:w="7910"/>
            <w:vAlign w:val="top"/>
          </w:tcPr>
          <w:p>
            <w:pPr>
              <w:pStyle w:val="TableText"/>
            </w:pPr>
            <w:r>
              <w:t>Un actor externo o sistema dependiente recibe sólo el resultado autorizado, con referencia y estado comprensibles.</w:t>
            </w:r>
          </w:p>
        </w:tc>
      </w:tr>
      <w:tr>
        <w:trPr>
          <w:cantSplit/>
        </w:trPr>
        <w:tc>
          <w:tcPr>
            <w:tcW w:type="dxa" w:w="1450"/>
            <w:vAlign w:val="top"/>
          </w:tcPr>
          <w:p>
            <w:pPr>
              <w:pStyle w:val="TableText"/>
            </w:pPr>
            <w:r>
              <w:t>CBG-ENT-03</w:t>
            </w:r>
          </w:p>
        </w:tc>
        <w:tc>
          <w:tcPr>
            <w:tcW w:type="dxa" w:w="7910"/>
            <w:vAlign w:val="top"/>
          </w:tcPr>
          <w:p>
            <w:pPr>
              <w:pStyle w:val="TableText"/>
            </w:pPr>
            <w:r>
              <w:t>La corrección o caída de una dependencia permite continuar desde el último resultado confirmado sin duplicar trabajo.</w:t>
            </w:r>
          </w:p>
        </w:tc>
      </w:tr>
    </w:tbl>
    <w:p>
      <w:pPr>
        <w:pStyle w:val="Small"/>
      </w:pPr>
    </w:p>
    <w:p>
      <w:bookmarkStart w:id="12" w:name="s12"/>
      <w:pPr>
        <w:pStyle w:val="Heading1"/>
      </w:pPr>
      <w:r>
        <w:t>N3.11 Casos particulares y pruebas específicas</w:t>
      </w:r>
      <w:bookmarkEnd w:id="12"/>
    </w:p>
    <w:p>
      <w:r>
        <w:t>Cada CP es también la especificación ejecutable de su QA del mismo número. Preparar el fixture descrito, ejecutar la acción y comprobar toda la salida: estado, efectos permitidos y efectos prohibidos. Resultados de ejecución quedan PENDIENTES hasta que el equipo corra la suite. Los números de ejemplo son datos de prueba, no parámetros productivos.</w:t>
      </w:r>
    </w:p>
    <w:p>
      <w:pPr>
        <w:pStyle w:val="Heading2"/>
      </w:pPr>
      <w:r>
        <w:t>Casos de RE-ENT-01 · Perfil contractual</w:t>
      </w:r>
    </w:p>
    <w:p>
      <w:pPr>
        <w:pStyle w:val="Heading3"/>
      </w:pPr>
      <w:r>
        <w:t>CP-ENT-01 / QA-ENT-01</w:t>
      </w:r>
    </w:p>
    <w:p>
      <w:r>
        <w:t>Dado: Cliente con regiones y objetivos aprobados. Fixture FX-ENT-01.</w:t>
      </w:r>
    </w:p>
    <w:p>
      <w:r>
        <w:t>Cuando: Crear perfil. Entonces: CONFIGURADO.</w:t>
      </w:r>
    </w:p>
    <w:p>
      <w:pPr>
        <w:pStyle w:val="Small"/>
      </w:pPr>
      <w:r>
        <w:t>Regla RE-ENT-01 · Historia HU-ENT-01.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CP-ENT-02 / QA-ENT-02</w:t>
      </w:r>
    </w:p>
    <w:p>
      <w:r>
        <w:t>Dado: Solicitud enterprise sin RPO/RTO. Fixture FX-ENT-02.</w:t>
      </w:r>
    </w:p>
    <w:p>
      <w:r>
        <w:t>Cuando: Planificar. Entonces: DECISION_PENDIENTE; no promesa de DR.</w:t>
      </w:r>
    </w:p>
    <w:p>
      <w:pPr>
        <w:pStyle w:val="Small"/>
      </w:pPr>
      <w:r>
        <w:t>Regla RE-ENT-01 · Historia HU-ENT-01.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CP-ENT-03 / QA-ENT-03</w:t>
      </w:r>
    </w:p>
    <w:p>
      <w:r>
        <w:t>Dado: Requisito incompatible con proveedor IA. Fixture FX-ENT-03.</w:t>
      </w:r>
    </w:p>
    <w:p>
      <w:r>
        <w:t>Cuando: Validar. Entonces: BLOQUEADO con alternativa a evaluar.</w:t>
      </w:r>
    </w:p>
    <w:p>
      <w:pPr>
        <w:pStyle w:val="Small"/>
      </w:pPr>
      <w:r>
        <w:t>Regla RE-ENT-01 · Historia HU-ENT-01.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CP-ENT-04 / QA-ENT-04</w:t>
      </w:r>
    </w:p>
    <w:p>
      <w:r>
        <w:t>Dado: Cambio contractual de región. Fixture FX-ENT-04.</w:t>
      </w:r>
    </w:p>
    <w:p>
      <w:r>
        <w:t>Cuando: Aplicar. Entonces: Nueva versión de perfil y plan de migración.</w:t>
      </w:r>
    </w:p>
    <w:p>
      <w:pPr>
        <w:pStyle w:val="Small"/>
      </w:pPr>
      <w:r>
        <w:t>Regla RE-ENT-01 · Historia HU-ENT-01.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RE-ENT-02 · Residencia integral</w:t>
      </w:r>
    </w:p>
    <w:p>
      <w:pPr>
        <w:pStyle w:val="Heading3"/>
      </w:pPr>
      <w:r>
        <w:t>CP-ENT-05 / QA-ENT-05</w:t>
      </w:r>
    </w:p>
    <w:p>
      <w:r>
        <w:t>Dado: Región autorizada para todos recursos. Fixture FX-ENT-05.</w:t>
      </w:r>
    </w:p>
    <w:p>
      <w:r>
        <w:t>Cuando: Validar rutas. Entonces: CONFORME al perfil.</w:t>
      </w:r>
    </w:p>
    <w:p>
      <w:pPr>
        <w:pStyle w:val="Small"/>
      </w:pPr>
      <w:r>
        <w:t>Regla RE-ENT-02 · Historia HU-ENT-02.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CP-ENT-06 / QA-ENT-06</w:t>
      </w:r>
    </w:p>
    <w:p>
      <w:r>
        <w:t>Dado: Backup en región no permitida. Fixture FX-ENT-06.</w:t>
      </w:r>
    </w:p>
    <w:p>
      <w:r>
        <w:t>Cuando: Validar. Entonces: NO_CONFORME; gate bloqueado.</w:t>
      </w:r>
    </w:p>
    <w:p>
      <w:pPr>
        <w:pStyle w:val="Small"/>
      </w:pPr>
      <w:r>
        <w:t>Regla RE-ENT-02 · Historia HU-ENT-02.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CP-ENT-07 / QA-ENT-07</w:t>
      </w:r>
    </w:p>
    <w:p>
      <w:r>
        <w:t>Dado: Proveedor procesa fuera de región aprobada. Fixture FX-ENT-07.</w:t>
      </w:r>
    </w:p>
    <w:p>
      <w:r>
        <w:t>Cuando: Enviar documento. Entonces: DENEGADO por policy.</w:t>
      </w:r>
    </w:p>
    <w:p>
      <w:pPr>
        <w:pStyle w:val="Small"/>
      </w:pPr>
      <w:r>
        <w:t>Regla RE-ENT-02 · Historia HU-ENT-02.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CP-ENT-08 / QA-ENT-08</w:t>
      </w:r>
    </w:p>
    <w:p>
      <w:r>
        <w:t>Dado: Metadata sensible enviada a log externo no autorizado. Fixture FX-ENT-08.</w:t>
      </w:r>
    </w:p>
    <w:p>
      <w:r>
        <w:t>Cuando: Controlar. Entonces: BLOQUEADO o redactado antes de envío.</w:t>
      </w:r>
    </w:p>
    <w:p>
      <w:pPr>
        <w:pStyle w:val="Small"/>
      </w:pPr>
      <w:r>
        <w:t>Regla RE-ENT-02 · Historia HU-ENT-02.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RE-ENT-03 · SSO enterprise</w:t>
      </w:r>
    </w:p>
    <w:p>
      <w:pPr>
        <w:pStyle w:val="Heading3"/>
      </w:pPr>
      <w:r>
        <w:t>CP-ENT-09 / QA-ENT-09</w:t>
      </w:r>
    </w:p>
    <w:p>
      <w:r>
        <w:t>Dado: Grupo aprobado mapea a reviewer. Fixture FX-ENT-09.</w:t>
      </w:r>
    </w:p>
    <w:p>
      <w:r>
        <w:t>Cuando: Iniciar sesión. Entonces: Rol limitado correcto.</w:t>
      </w:r>
    </w:p>
    <w:p>
      <w:pPr>
        <w:pStyle w:val="Small"/>
      </w:pPr>
      <w:r>
        <w:t>Regla RE-ENT-03 · Historia HU-ENT-03.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CP-ENT-10 / QA-ENT-10</w:t>
      </w:r>
    </w:p>
    <w:p>
      <w:r>
        <w:t>Dado: Grupo desconocido en assertion. Fixture FX-ENT-10.</w:t>
      </w:r>
    </w:p>
    <w:p>
      <w:r>
        <w:t>Cuando: Mapear. Entonces: Sin privilegio por defecto.</w:t>
      </w:r>
    </w:p>
    <w:p>
      <w:pPr>
        <w:pStyle w:val="Small"/>
      </w:pPr>
      <w:r>
        <w:t>Regla RE-ENT-03 · Historia HU-ENT-03.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CP-ENT-11 / QA-ENT-11</w:t>
      </w:r>
    </w:p>
    <w:p>
      <w:r>
        <w:t>Dado: Usuario deshabilitado en IAM local. Fixture FX-ENT-11.</w:t>
      </w:r>
    </w:p>
    <w:p>
      <w:r>
        <w:t>Cuando: Entrar por SSO. Entonces: DENEGADO.</w:t>
      </w:r>
    </w:p>
    <w:p>
      <w:pPr>
        <w:pStyle w:val="Small"/>
      </w:pPr>
      <w:r>
        <w:t>Regla RE-ENT-03 · Historia HU-ENT-03.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CP-ENT-12 / QA-ENT-12</w:t>
      </w:r>
    </w:p>
    <w:p>
      <w:r>
        <w:t>Dado: Cambio de grupo elimina rol. Fixture FX-ENT-12.</w:t>
      </w:r>
    </w:p>
    <w:p>
      <w:r>
        <w:t>Cuando: Renovar sesión/acción. Entonces: Permiso reevaluado; no conservar privilegio obsoleto.</w:t>
      </w:r>
    </w:p>
    <w:p>
      <w:pPr>
        <w:pStyle w:val="Small"/>
      </w:pPr>
      <w:r>
        <w:t>Regla RE-ENT-03 · Historia HU-ENT-03.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RE-ENT-04 · Acceso de emergencia</w:t>
      </w:r>
    </w:p>
    <w:p>
      <w:pPr>
        <w:pStyle w:val="Heading3"/>
      </w:pPr>
      <w:r>
        <w:t>CP-ENT-13 / QA-ENT-13</w:t>
      </w:r>
    </w:p>
    <w:p>
      <w:r>
        <w:t>Dado: Incidente y autorización de emergencia. Fixture FX-ENT-13.</w:t>
      </w:r>
    </w:p>
    <w:p>
      <w:r>
        <w:t>Cuando: Activar acceso temporal. Entonces: ACCESO_TEMPORAL con actor y vencimiento.</w:t>
      </w:r>
    </w:p>
    <w:p>
      <w:pPr>
        <w:pStyle w:val="Small"/>
      </w:pPr>
      <w:r>
        <w:t>Regla RE-ENT-04 · Historia HU-ENT-04.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CP-ENT-14 / QA-ENT-14</w:t>
      </w:r>
    </w:p>
    <w:p>
      <w:r>
        <w:t>Dado: Motivo vacío. Fixture FX-ENT-14.</w:t>
      </w:r>
    </w:p>
    <w:p>
      <w:r>
        <w:t>Cuando: Solicitar. Entonces: DENEGADO.</w:t>
      </w:r>
    </w:p>
    <w:p>
      <w:pPr>
        <w:pStyle w:val="Small"/>
      </w:pPr>
      <w:r>
        <w:t>Regla RE-ENT-04 · Historia HU-ENT-04.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CP-ENT-15 / QA-ENT-15</w:t>
      </w:r>
    </w:p>
    <w:p>
      <w:r>
        <w:t>Dado: TTL vencido. Fixture FX-ENT-15.</w:t>
      </w:r>
    </w:p>
    <w:p>
      <w:r>
        <w:t>Cuando: Ejecutar acción. Entonces: DENEGADO.</w:t>
      </w:r>
    </w:p>
    <w:p>
      <w:pPr>
        <w:pStyle w:val="Small"/>
      </w:pPr>
      <w:r>
        <w:t>Regla RE-ENT-04 · Historia HU-ENT-04.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CP-ENT-16 / QA-ENT-16</w:t>
      </w:r>
    </w:p>
    <w:p>
      <w:r>
        <w:t>Dado: Incidente cerrado. Fixture FX-ENT-16.</w:t>
      </w:r>
    </w:p>
    <w:p>
      <w:r>
        <w:t>Cuando: Revisar accesos. Entonces: Revocados y registro de acciones disponible.</w:t>
      </w:r>
    </w:p>
    <w:p>
      <w:pPr>
        <w:pStyle w:val="Small"/>
      </w:pPr>
      <w:r>
        <w:t>Regla RE-ENT-04 · Historia HU-ENT-04.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RE-ENT-05 · Conectividad privada</w:t>
      </w:r>
    </w:p>
    <w:p>
      <w:pPr>
        <w:pStyle w:val="Heading3"/>
      </w:pPr>
      <w:r>
        <w:t>CP-ENT-17 / QA-ENT-17</w:t>
      </w:r>
    </w:p>
    <w:p>
      <w:r>
        <w:t>Dado: Origen allowlist y principal autorizado. Fixture FX-ENT-17.</w:t>
      </w:r>
    </w:p>
    <w:p>
      <w:r>
        <w:t>Cuando: Consultar. Entonces: AUTORIZADO.</w:t>
      </w:r>
    </w:p>
    <w:p>
      <w:pPr>
        <w:pStyle w:val="Small"/>
      </w:pPr>
      <w:r>
        <w:t>Regla RE-ENT-05 · Historia HU-ENT-05.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CP-ENT-18 / QA-ENT-18</w:t>
      </w:r>
    </w:p>
    <w:p>
      <w:r>
        <w:t>Dado: Origen permitido con tenant incorrecto. Fixture FX-ENT-18.</w:t>
      </w:r>
    </w:p>
    <w:p>
      <w:r>
        <w:t>Cuando: Consultar. Entonces: DENEGADO.</w:t>
      </w:r>
    </w:p>
    <w:p>
      <w:pPr>
        <w:pStyle w:val="Small"/>
      </w:pPr>
      <w:r>
        <w:t>Regla RE-ENT-05 · Historia HU-ENT-05.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CP-ENT-19 / QA-ENT-19</w:t>
      </w:r>
    </w:p>
    <w:p>
      <w:r>
        <w:t>Dado: Origen fuera de allowlist. Fixture FX-ENT-19.</w:t>
      </w:r>
    </w:p>
    <w:p>
      <w:r>
        <w:t>Cuando: Conectar. Entonces: BLOQUEADO.</w:t>
      </w:r>
    </w:p>
    <w:p>
      <w:pPr>
        <w:pStyle w:val="Small"/>
      </w:pPr>
      <w:r>
        <w:t>Regla RE-ENT-05 · Historia HU-ENT-05.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CP-ENT-20 / QA-ENT-20</w:t>
      </w:r>
    </w:p>
    <w:p>
      <w:r>
        <w:t>Dado: Failover a región alternativa no autorizada. Fixture FX-ENT-20.</w:t>
      </w:r>
    </w:p>
    <w:p>
      <w:r>
        <w:t>Cuando: Conmutar. Entonces: BLOQUEADO por residencia.</w:t>
      </w:r>
    </w:p>
    <w:p>
      <w:pPr>
        <w:pStyle w:val="Small"/>
      </w:pPr>
      <w:r>
        <w:t>Regla RE-ENT-05 · Historia HU-ENT-05.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RE-ENT-06 · Gobierno de datos</w:t>
      </w:r>
    </w:p>
    <w:p>
      <w:pPr>
        <w:pStyle w:val="Heading3"/>
      </w:pPr>
      <w:r>
        <w:t>CP-ENT-21 / QA-ENT-21</w:t>
      </w:r>
    </w:p>
    <w:p>
      <w:r>
        <w:t>Dado: Policy cliente compatible. Fixture FX-ENT-21.</w:t>
      </w:r>
    </w:p>
    <w:p>
      <w:r>
        <w:t>Cuando: Asignar. Entonces: ACTIVA versionada.</w:t>
      </w:r>
    </w:p>
    <w:p>
      <w:pPr>
        <w:pStyle w:val="Small"/>
      </w:pPr>
      <w:r>
        <w:t>Regla RE-ENT-06 · Historia HU-ENT-06.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CP-ENT-22 / QA-ENT-22</w:t>
      </w:r>
    </w:p>
    <w:p>
      <w:r>
        <w:t>Dado: Cliente pide purga de objeto con hold. Fixture FX-ENT-22.</w:t>
      </w:r>
    </w:p>
    <w:p>
      <w:r>
        <w:t>Cuando: Ejecutar. Entonces: DENEGADA.</w:t>
      </w:r>
    </w:p>
    <w:p>
      <w:pPr>
        <w:pStyle w:val="Small"/>
      </w:pPr>
      <w:r>
        <w:t>Regla RE-ENT-06 · Historia HU-ENT-06.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CP-ENT-23 / QA-ENT-23</w:t>
      </w:r>
    </w:p>
    <w:p>
      <w:r>
        <w:t>Dado: Export enterprise por auditor autorizado. Fixture FX-ENT-23.</w:t>
      </w:r>
    </w:p>
    <w:p>
      <w:r>
        <w:t>Cuando: Solicitar. Entonces: Scope mínimo y manifiesto.</w:t>
      </w:r>
    </w:p>
    <w:p>
      <w:pPr>
        <w:pStyle w:val="Small"/>
      </w:pPr>
      <w:r>
        <w:t>Regla RE-ENT-06 · Historia HU-ENT-06.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CP-ENT-24 / QA-ENT-24</w:t>
      </w:r>
    </w:p>
    <w:p>
      <w:r>
        <w:t>Dado: Cambio de retención afecta históricos. Fixture FX-ENT-24.</w:t>
      </w:r>
    </w:p>
    <w:p>
      <w:r>
        <w:t>Cuando: Aplicar. Entonces: Análisis de impacto antes de purga.</w:t>
      </w:r>
    </w:p>
    <w:p>
      <w:pPr>
        <w:pStyle w:val="Small"/>
      </w:pPr>
      <w:r>
        <w:t>Regla RE-ENT-06 · Historia HU-ENT-06.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RE-ENT-07 · FinOps enterprise</w:t>
      </w:r>
    </w:p>
    <w:p>
      <w:pPr>
        <w:pStyle w:val="Heading3"/>
      </w:pPr>
      <w:r>
        <w:t>CP-ENT-25 / QA-ENT-25</w:t>
      </w:r>
    </w:p>
    <w:p>
      <w:r>
        <w:t>Dado: Dos tenants comparten infraestructura. Fixture FX-ENT-25.</w:t>
      </w:r>
    </w:p>
    <w:p>
      <w:r>
        <w:t>Cuando: Imputar consumo. Entonces: Separado por tenant y regla de reparto.</w:t>
      </w:r>
    </w:p>
    <w:p>
      <w:pPr>
        <w:pStyle w:val="Small"/>
      </w:pPr>
      <w:r>
        <w:t>Regla RE-ENT-07 · Historia HU-ENT-07.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CP-ENT-26 / QA-ENT-26</w:t>
      </w:r>
    </w:p>
    <w:p>
      <w:r>
        <w:t>Dado: Consumo sin owner. Fixture FX-ENT-26.</w:t>
      </w:r>
    </w:p>
    <w:p>
      <w:r>
        <w:t>Cuando: Conciliar. Entonces: INCIDENCIA, no asignación arbitraria.</w:t>
      </w:r>
    </w:p>
    <w:p>
      <w:pPr>
        <w:pStyle w:val="Small"/>
      </w:pPr>
      <w:r>
        <w:t>Regla RE-ENT-07 · Historia HU-ENT-07.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CP-ENT-27 / QA-ENT-27</w:t>
      </w:r>
    </w:p>
    <w:p>
      <w:r>
        <w:t>Dado: Cambio de tarifa interna. Fixture FX-ENT-27.</w:t>
      </w:r>
    </w:p>
    <w:p>
      <w:r>
        <w:t>Cuando: Calcular período. Entonces: Versión de tarifa guardada.</w:t>
      </w:r>
    </w:p>
    <w:p>
      <w:pPr>
        <w:pStyle w:val="Small"/>
      </w:pPr>
      <w:r>
        <w:t>Regla RE-ENT-07 · Historia HU-ENT-07.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CP-ENT-28 / QA-ENT-28</w:t>
      </w:r>
    </w:p>
    <w:p>
      <w:r>
        <w:t>Dado: Auditor de cliente A consulta costos B. Fixture FX-ENT-28.</w:t>
      </w:r>
    </w:p>
    <w:p>
      <w:r>
        <w:t>Cuando: Abrir reporte. Entonces: DENEGADO.</w:t>
      </w:r>
    </w:p>
    <w:p>
      <w:pPr>
        <w:pStyle w:val="Small"/>
      </w:pPr>
      <w:r>
        <w:t>Regla RE-ENT-07 · Historia HU-ENT-07.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RE-ENT-08 · Aceptación verificable</w:t>
      </w:r>
    </w:p>
    <w:p>
      <w:pPr>
        <w:pStyle w:val="Heading3"/>
      </w:pPr>
      <w:r>
        <w:t>CP-ENT-29 / QA-ENT-29</w:t>
      </w:r>
    </w:p>
    <w:p>
      <w:r>
        <w:t>Dado: Controles de residencia/SSO ejecutados. Fixture FX-ENT-29.</w:t>
      </w:r>
    </w:p>
    <w:p>
      <w:r>
        <w:t>Cuando: Solicitar aceptación. Entonces: ELEGIBLE con evidencia.</w:t>
      </w:r>
    </w:p>
    <w:p>
      <w:pPr>
        <w:pStyle w:val="Small"/>
      </w:pPr>
      <w:r>
        <w:t>Regla RE-ENT-08 · Historia HU-ENT-08.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CP-ENT-30 / QA-ENT-30</w:t>
      </w:r>
    </w:p>
    <w:p>
      <w:r>
        <w:t>Dado: No se probó revocación. Fixture FX-ENT-30.</w:t>
      </w:r>
    </w:p>
    <w:p>
      <w:r>
        <w:t>Cuando: Cerrar IAM enterprise. Entonces: BLOQUEADO.</w:t>
      </w:r>
    </w:p>
    <w:p>
      <w:pPr>
        <w:pStyle w:val="Small"/>
      </w:pPr>
      <w:r>
        <w:t>Regla RE-ENT-08 · Historia HU-ENT-08.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CP-ENT-31 / QA-ENT-31</w:t>
      </w:r>
    </w:p>
    <w:p>
      <w:r>
        <w:t>Dado: SLA sin mediciones piloto. Fixture FX-ENT-31.</w:t>
      </w:r>
    </w:p>
    <w:p>
      <w:r>
        <w:t>Cuando: Certificar. Entonces: NO_CERTIFICADO.</w:t>
      </w:r>
    </w:p>
    <w:p>
      <w:pPr>
        <w:pStyle w:val="Small"/>
      </w:pPr>
      <w:r>
        <w:t>Regla RE-ENT-08 · Historia HU-ENT-08.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CP-ENT-32 / QA-ENT-32</w:t>
      </w:r>
    </w:p>
    <w:p>
      <w:r>
        <w:t>Dado: Control falla y se propone excepción. Fixture FX-ENT-32.</w:t>
      </w:r>
    </w:p>
    <w:p>
      <w:r>
        <w:t>Cuando: Aceptar. Entonces: Sólo decisión explícita del owner; no marcar control pasado.</w:t>
      </w:r>
    </w:p>
    <w:p>
      <w:pPr>
        <w:pStyle w:val="Small"/>
      </w:pPr>
      <w:r>
        <w:t>Regla RE-ENT-08 · Historia HU-ENT-08. Evidencia: respuesta/estado y referencia del recurso; antes/después o ausencia de mutación cuando se deniega. Automatizar integración; añadir unitario para regla pura y UI/E2E si la acción es visible.</w:t>
      </w:r>
    </w:p>
    <w:p>
      <w:bookmarkStart w:id="13" w:name="s13"/>
      <w:pPr>
        <w:pStyle w:val="Heading1"/>
      </w:pPr>
      <w:r>
        <w:t>N3.12 Historias y criterios de aceptación</w:t>
      </w:r>
      <w:bookmarkEnd w:id="13"/>
    </w:p>
    <w:p>
      <w:r>
        <w:t>Cada historia corresponde a una regla RE y sus cuatro escenarios; esas referencias aportan criterios Given/When/Then completos sin reescribirlos de forma genérica. El split adicional por pantalla o integración mantiene el mismo N3 y no elimina pruebas.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1500"/>
        <w:gridCol w:w="5800"/>
        <w:gridCol w:w="2060"/>
      </w:tblGrid>
      <w:tr>
        <w:trPr>
          <w:cantSplit/>
          <w:tblHeader/>
        </w:trPr>
        <w:tc>
          <w:tcPr>
            <w:tcW w:type="dxa" w:w="15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Historia</w:t>
            </w:r>
          </w:p>
        </w:tc>
        <w:tc>
          <w:tcPr>
            <w:tcW w:type="dxa" w:w="58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Necesidad y criterio</w:t>
            </w:r>
          </w:p>
        </w:tc>
        <w:tc>
          <w:tcPr>
            <w:tcW w:type="dxa" w:w="2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Casos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HU-ENT-01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Enterprise Admin, quiero perfil contractual para definir requisitos antes de diseñar despliegue; sin contrato de objetivos no prometer sla ni residencia específica.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CP/QA-ENT-01 a 04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HU-ENT-02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Enterprise Admin, quiero residencia integral para residencia incluye originales, derivados, índices, logs sensibles y backups; política se aplica también a proveedores ia.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CP/QA-ENT-05 a 08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HU-ENT-03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Enterprise Admin, quiero sso enterprise para mapear grupos a roles gobernados sin confiar en grupos arbitrarios; mantener revocación y administrador de emergencia controlado.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CP/QA-ENT-09 a 12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HU-ENT-04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Enterprise Admin, quiero acceso de emergencia para acceso excepcional tiene motivo, ttl y revisión posterior; no cuenta compartida sin trazabilidad.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CP/QA-ENT-13 a 16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HU-ENT-05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Enterprise Admin, quiero conectividad privada para validar origen y autorización funcional; red privada no sustituye tenant/rol.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CP/QA-ENT-17 a 20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HU-ENT-06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Enterprise Admin, quiero gobierno de datos para aplicar retención, export y hold al perfil sin debilitar obligaciones superiores; resolver conflictos explícitamente.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CP/QA-ENT-21 a 24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HU-ENT-07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Enterprise Admin, quiero finops enterprise para imputar costos y cuotas por servicio/tenant sin mezclar presupuestos; dashboards explican períodos y fuentes.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CP/QA-ENT-25 a 28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HU-ENT-08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Enterprise Admin, quiero aceptación verificable para el perfil se acepta contra controles ejecutados, no sólo documento de arquitectura.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CP/QA-ENT-29 a 32</w:t>
            </w:r>
          </w:p>
        </w:tc>
      </w:tr>
    </w:tbl>
    <w:p>
      <w:pPr>
        <w:pStyle w:val="Small"/>
      </w:pPr>
    </w:p>
    <w:p>
      <w:bookmarkStart w:id="14" w:name="s14"/>
      <w:pPr>
        <w:pStyle w:val="Heading1"/>
      </w:pPr>
      <w:r>
        <w:t>N3.13 QA automatizado y SPR083</w:t>
      </w:r>
      <w:bookmarkEnd w:id="14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000"/>
        <w:gridCol w:w="7360"/>
      </w:tblGrid>
      <w:tr>
        <w:trPr>
          <w:cantSplit/>
          <w:tblHeader/>
        </w:trPr>
        <w:tc>
          <w:tcPr>
            <w:tcW w:type="dxa" w:w="20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Capa</w:t>
            </w:r>
          </w:p>
        </w:tc>
        <w:tc>
          <w:tcPr>
            <w:tcW w:type="dxa" w:w="7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Cobertura / responsable / gate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Unitario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Comparadores, umbrales y validaciones RE; Desarrollo; cada build.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Integración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Todos los QA-ENT; persistencia, auth y efectos; Desarrollo + QA; candidato.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UI/E2E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Acciones visibles de CP y recorrido de módulo; QA Automation + Desarrollo; piloto.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Regresión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Suite core y contratos IAM, GOV, REL; QA; sin pérdida de cobertura.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Históricos / carga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Versiones previas, replay y concurrencia definidos en CP; QA/SRE; release.</w:t>
            </w:r>
          </w:p>
        </w:tc>
      </w:tr>
    </w:tbl>
    <w:p>
      <w:pPr>
        <w:pStyle w:val="Small"/>
      </w:pPr>
    </w:p>
    <w:p>
      <w:r>
        <w:t>SPR083 es la referencia de disciplina QA del programa. No se ha creado un ticket ni se afirma que la suite exista en el repositorio. Integración obligatoria usa NEXTDOCS_PRUEBA_OBLIGATORIA=true cuando aplica al stack reportado.</w:t>
      </w:r>
    </w:p>
    <w:p>
      <w:bookmarkStart w:id="15" w:name="s15"/>
      <w:pPr>
        <w:pStyle w:val="Heading1"/>
      </w:pPr>
      <w:r>
        <w:t>N3.14 Diseño de cada caso QA</w:t>
      </w:r>
      <w:bookmarkEnd w:id="15"/>
    </w:p>
    <w:p>
      <w:pPr>
        <w:pStyle w:val="ListBullet"/>
      </w:pPr>
      <w:r>
        <w:t>Preparar tenant A/B, rol y estado indicados en FX; registrar versión de configuración usada.</w:t>
      </w:r>
    </w:p>
    <w:p>
      <w:pPr>
        <w:pStyle w:val="ListBullet"/>
      </w:pPr>
      <w:r>
        <w:t>Ejecutar la acción When una vez; para duplicados/concurrencia, reproducir el número y orden indicado en CP.</w:t>
      </w:r>
    </w:p>
    <w:p>
      <w:pPr>
        <w:pStyle w:val="ListBullet"/>
      </w:pPr>
      <w:r>
        <w:t>Comprobar el resultado Then en respuesta, persistencia y UI cuando corresponda; verificar también que no exista el efecto prohibido.</w:t>
      </w:r>
    </w:p>
    <w:p>
      <w:pPr>
        <w:pStyle w:val="ListBullet"/>
      </w:pPr>
      <w:r>
        <w:t>Capturar QA ID, build, entorno, tiempos y resource_ref; adjuntar logs sin secretos y screenshot cuando UI sea parte del caso.</w:t>
      </w:r>
    </w:p>
    <w:p>
      <w:pPr>
        <w:pStyle w:val="ListBullet"/>
      </w:pPr>
      <w:r>
        <w:t>Restablecer fixture aislado antes del siguiente test; nunca borrar datos productivos para reset.</w:t>
      </w:r>
    </w:p>
    <w:p>
      <w:r>
        <w:t>La matriz QA_MAESTRA_V11 identifica precondición, acción, resultado, historia, regla y fixture de los 544 casos. No es un reporte de pruebas aprobadas.</w:t>
      </w:r>
    </w:p>
    <w:p>
      <w:bookmarkStart w:id="16" w:name="s16"/>
      <w:pPr>
        <w:pStyle w:val="Heading1"/>
      </w:pPr>
      <w:r>
        <w:t>N3.15 Fixtures y ambientes</w:t>
      </w:r>
      <w:bookmarkEnd w:id="16"/>
    </w:p>
    <w:p>
      <w:r>
        <w:t>FX-ENT-01 a 32 corresponden uno a uno a las precondiciones de N3.11. Las referencias de ejemplo son sintéticas; el equipo materializa entidades con factories/seeders del repositorio y conserva el fixture versionado.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1950"/>
        <w:gridCol w:w="7410"/>
      </w:tblGrid>
      <w:tr>
        <w:trPr>
          <w:cantSplit/>
          <w:tblHeader/>
        </w:trPr>
        <w:tc>
          <w:tcPr>
            <w:tcW w:type="dxa" w:w="195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Dimensión</w:t>
            </w:r>
          </w:p>
        </w:tc>
        <w:tc>
          <w:tcPr>
            <w:tcW w:type="dxa" w:w="741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Preparación</w:t>
            </w:r>
          </w:p>
        </w:tc>
      </w:tr>
      <w:tr>
        <w:trPr>
          <w:cantSplit/>
        </w:trPr>
        <w:tc>
          <w:tcPr>
            <w:tcW w:type="dxa" w:w="1950"/>
            <w:vAlign w:val="top"/>
          </w:tcPr>
          <w:p>
            <w:pPr>
              <w:pStyle w:val="TableText"/>
            </w:pPr>
            <w:r>
              <w:t>Tenants y roles</w:t>
            </w:r>
          </w:p>
        </w:tc>
        <w:tc>
          <w:tcPr>
            <w:tcW w:type="dxa" w:w="7410"/>
            <w:vAlign w:val="top"/>
          </w:tcPr>
          <w:p>
            <w:pPr>
              <w:pStyle w:val="TableText"/>
            </w:pPr>
            <w:r>
              <w:t>A autorizado, B aislado; usuario lector, operador y administrador; grants activos/expirados según CP.</w:t>
            </w:r>
          </w:p>
        </w:tc>
      </w:tr>
      <w:tr>
        <w:trPr>
          <w:cantSplit/>
        </w:trPr>
        <w:tc>
          <w:tcPr>
            <w:tcW w:type="dxa" w:w="1950"/>
            <w:vAlign w:val="top"/>
          </w:tcPr>
          <w:p>
            <w:pPr>
              <w:pStyle w:val="TableText"/>
            </w:pPr>
            <w:r>
              <w:t>Reloj y versiones</w:t>
            </w:r>
          </w:p>
        </w:tc>
        <w:tc>
          <w:tcPr>
            <w:tcW w:type="dxa" w:w="7410"/>
            <w:vAlign w:val="top"/>
          </w:tcPr>
          <w:p>
            <w:pPr>
              <w:pStyle w:val="TableText"/>
            </w:pPr>
            <w:r>
              <w:t>Reloj fijo en UTC y zona tenant; versiones v1/v2; no usar fecha corriente para pruebas de TTL.</w:t>
            </w:r>
          </w:p>
        </w:tc>
      </w:tr>
      <w:tr>
        <w:trPr>
          <w:cantSplit/>
        </w:trPr>
        <w:tc>
          <w:tcPr>
            <w:tcW w:type="dxa" w:w="1950"/>
            <w:vAlign w:val="top"/>
          </w:tcPr>
          <w:p>
            <w:pPr>
              <w:pStyle w:val="TableText"/>
            </w:pPr>
            <w:r>
              <w:t>Servicios</w:t>
            </w:r>
          </w:p>
        </w:tc>
        <w:tc>
          <w:tcPr>
            <w:tcW w:type="dxa" w:w="7410"/>
            <w:vAlign w:val="top"/>
          </w:tcPr>
          <w:p>
            <w:pPr>
              <w:pStyle w:val="TableText"/>
            </w:pPr>
            <w:r>
              <w:t>Infra real de integración reportada; stubs para proveedores externos, pagos, firma y fallos controlados.</w:t>
            </w:r>
          </w:p>
        </w:tc>
      </w:tr>
      <w:tr>
        <w:trPr>
          <w:cantSplit/>
        </w:trPr>
        <w:tc>
          <w:tcPr>
            <w:tcW w:type="dxa" w:w="1950"/>
            <w:vAlign w:val="top"/>
          </w:tcPr>
          <w:p>
            <w:pPr>
              <w:pStyle w:val="TableText"/>
            </w:pPr>
            <w:r>
              <w:t>Datos</w:t>
            </w:r>
          </w:p>
        </w:tc>
        <w:tc>
          <w:tcPr>
            <w:tcW w:type="dxa" w:w="7410"/>
            <w:vAlign w:val="top"/>
          </w:tcPr>
          <w:p>
            <w:pPr>
              <w:pStyle w:val="TableText"/>
            </w:pPr>
            <w:r>
              <w:t>Separar sintéticos, reales autorizados y gold corpus etiquetado. Los CP de calidad no usan respuestas IA no deterministas como única aserción.</w:t>
            </w:r>
          </w:p>
        </w:tc>
      </w:tr>
      <w:tr>
        <w:trPr>
          <w:cantSplit/>
        </w:trPr>
        <w:tc>
          <w:tcPr>
            <w:tcW w:type="dxa" w:w="1950"/>
            <w:vAlign w:val="top"/>
          </w:tcPr>
          <w:p>
            <w:pPr>
              <w:pStyle w:val="TableText"/>
            </w:pPr>
            <w:r>
              <w:t>Reset</w:t>
            </w:r>
          </w:p>
        </w:tc>
        <w:tc>
          <w:tcPr>
            <w:tcW w:type="dxa" w:w="7410"/>
            <w:vAlign w:val="top"/>
          </w:tcPr>
          <w:p>
            <w:pPr>
              <w:pStyle w:val="TableText"/>
            </w:pPr>
            <w:r>
              <w:t>Eliminar sólo espacio de prueba identificado por run_ref; reiniciar colas/objetos del fixture y verificar aislamiento.</w:t>
            </w:r>
          </w:p>
        </w:tc>
      </w:tr>
    </w:tbl>
    <w:p>
      <w:pPr>
        <w:pStyle w:val="Small"/>
      </w:pPr>
    </w:p>
    <w:p>
      <w:bookmarkStart w:id="17" w:name="s17"/>
      <w:pPr>
        <w:pStyle w:val="Heading1"/>
      </w:pPr>
      <w:r>
        <w:t>N3.16 UX/UI y prototipos</w:t>
      </w:r>
      <w:bookmarkEnd w:id="17"/>
    </w:p>
    <w:p>
      <w:r>
        <w:t>Nueva consola enterprise con políticas y evidencia; no exponer secretos ni tenants de terceros.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Comportamiento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Entrada / salida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Definir perfil → Aceptar servicio; conservar contexto y recurso al navegar.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Acción primaria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Perfil contractual con permiso y estado vigente; confirmar sólo tras persistencia.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Acciones secundarias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Consultar evidencia, volver a lista, reintentar si recuperable; cancelar sólo con permiso/motivo.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Empty / loading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Explicar ausencia y siguiente acción; mostrar procesamiento con referencia, no resultado ficticio.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Error / success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Error con causa y recuperación; éxito con estado real y enlace al recurso.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Filtros / columnas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Tenant contextual, fecha, estado, responsable y referencia; orden estable; perfiles por rol sin ampliar permisos.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Responsive / accesibilidad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Teclado, foco, contraste y etiqueta textual; móvil con acciones visibles; no color como única información.</w:t>
            </w:r>
          </w:p>
        </w:tc>
      </w:tr>
    </w:tbl>
    <w:p>
      <w:pPr>
        <w:pStyle w:val="Small"/>
      </w:pPr>
    </w:p>
    <w:p>
      <w:r>
        <w:t>Figma define antes/después para revamp y flujo completo para nuevo desarrollo. Figma Make puede prototipar navegación sin imponer implementación. No se entrega un diseño Figma creado ni enlaces inventados. Mensajes base: “No tenés permiso para esta acción”, “El recurso cambió; revisá la versión actual”, “No se pudo completar; conservamos tu solicitud para revisión”.</w:t>
      </w:r>
    </w:p>
    <w:p>
      <w:bookmarkStart w:id="18" w:name="s18"/>
      <w:pPr>
        <w:pStyle w:val="Heading1"/>
      </w:pPr>
      <w:r>
        <w:t>N3.17 Análisis con Devin</w:t>
      </w:r>
      <w:bookmarkEnd w:id="18"/>
    </w:p>
    <w:p>
      <w:r>
        <w:t>Devin se utiliza sólo para analizar documentación, sistema y brechas: localizar comportamiento ENT, confirmar estado reportado, mapear entidades y pruebas existentes, identificar reutilización y cambios mínimos. Salida esperada: correspondencia regla → código/test existente o tarea nueva, con evidencia del repositorio. No tratar una descripción documental como comprobación del build.</w:t>
      </w:r>
    </w:p>
    <w:p>
      <w:bookmarkStart w:id="19" w:name="s19"/>
      <w:pPr>
        <w:pStyle w:val="Heading1"/>
      </w:pPr>
      <w:r>
        <w:t>N3.18 Guía CTO, Jira y estimación</w:t>
      </w:r>
      <w:bookmarkEnd w:id="19"/>
    </w:p>
    <w:p>
      <w:r>
        <w:t>Crear ocho historias documentales HU-ENT-01 a 08. Cada una enlaza su RE, cuatro CP y cuatro QA; subtareas sugeridas: comportamiento/persistencia, UX si aplica y automatización. No fijar puntos como compromiso sin revisar código.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Complejidad</w:t>
            </w:r>
          </w:p>
        </w:tc>
        <w:tc>
          <w:tcPr>
            <w:tcW w:type="dxa" w:w="74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Criterio de estimación</w:t>
            </w:r>
          </w:p>
        </w:tc>
      </w:tr>
      <w:tr>
        <w:trPr>
          <w:cantSplit/>
        </w:trPr>
        <w:tc>
          <w:tcPr>
            <w:tcW w:type="dxa" w:w="1900"/>
            <w:vAlign w:val="top"/>
          </w:tcPr>
          <w:p>
            <w:pPr>
              <w:pStyle w:val="TableText"/>
            </w:pPr>
            <w:r>
              <w:t>1–3 puntos</w:t>
            </w:r>
          </w:p>
        </w:tc>
        <w:tc>
          <w:tcPr>
            <w:tcW w:type="dxa" w:w="7460"/>
            <w:vAlign w:val="top"/>
          </w:tcPr>
          <w:p>
            <w:pPr>
              <w:pStyle w:val="TableText"/>
            </w:pPr>
            <w:r>
              <w:t>Ajuste aislado con regla conocida, sin nueva integración y regresión acotada.</w:t>
            </w:r>
          </w:p>
        </w:tc>
      </w:tr>
      <w:tr>
        <w:trPr>
          <w:cantSplit/>
        </w:trPr>
        <w:tc>
          <w:tcPr>
            <w:tcW w:type="dxa" w:w="1900"/>
            <w:vAlign w:val="top"/>
          </w:tcPr>
          <w:p>
            <w:pPr>
              <w:pStyle w:val="TableText"/>
            </w:pPr>
            <w:r>
              <w:t>5–8 puntos</w:t>
            </w:r>
          </w:p>
        </w:tc>
        <w:tc>
          <w:tcPr>
            <w:tcW w:type="dxa" w:w="7460"/>
            <w:vAlign w:val="top"/>
          </w:tcPr>
          <w:p>
            <w:pPr>
              <w:pStyle w:val="TableText"/>
            </w:pPr>
            <w:r>
              <w:t>Flujo con estado, permiso, interfaz o contrato; requiere integración y fixtures.</w:t>
            </w:r>
          </w:p>
        </w:tc>
      </w:tr>
      <w:tr>
        <w:trPr>
          <w:cantSplit/>
        </w:trPr>
        <w:tc>
          <w:tcPr>
            <w:tcW w:type="dxa" w:w="1900"/>
            <w:vAlign w:val="top"/>
          </w:tcPr>
          <w:p>
            <w:pPr>
              <w:pStyle w:val="TableText"/>
            </w:pPr>
            <w:r>
              <w:t>13 o más</w:t>
            </w:r>
          </w:p>
        </w:tc>
        <w:tc>
          <w:tcPr>
            <w:tcW w:type="dxa" w:w="7460"/>
            <w:vAlign w:val="top"/>
          </w:tcPr>
          <w:p>
            <w:pPr>
              <w:pStyle w:val="TableText"/>
            </w:pPr>
            <w:r>
              <w:t>Dividir antes del sprint si combina varios journeys, migración o dependencias externas.</w:t>
            </w:r>
          </w:p>
        </w:tc>
      </w:tr>
      <w:tr>
        <w:trPr>
          <w:cantSplit/>
        </w:trPr>
        <w:tc>
          <w:tcPr>
            <w:tcW w:type="dxa" w:w="1900"/>
            <w:vAlign w:val="top"/>
          </w:tcPr>
          <w:p>
            <w:pPr>
              <w:pStyle w:val="TableText"/>
            </w:pPr>
            <w:r>
              <w:t>Spike</w:t>
            </w:r>
          </w:p>
        </w:tc>
        <w:tc>
          <w:tcPr>
            <w:tcW w:type="dxa" w:w="7460"/>
            <w:vAlign w:val="top"/>
          </w:tcPr>
          <w:p>
            <w:pPr>
              <w:pStyle w:val="TableText"/>
            </w:pPr>
            <w:r>
              <w:t>Reservar sólo para incógnita técnica concreta; cerrar con decisión y evidencia, no reemplazar el N3.</w:t>
            </w:r>
          </w:p>
        </w:tc>
      </w:tr>
    </w:tbl>
    <w:p>
      <w:pPr>
        <w:pStyle w:val="Small"/>
      </w:pPr>
    </w:p>
    <w:p>
      <w:bookmarkStart w:id="20" w:name="s20"/>
      <w:pPr>
        <w:pStyle w:val="Heading1"/>
      </w:pPr>
      <w:r>
        <w:t>N3.19 Definition of Ready y Done</w:t>
      </w:r>
      <w:bookmarkEnd w:id="20"/>
    </w:p>
    <w:p>
      <w:pPr>
        <w:pStyle w:val="ListBullet"/>
      </w:pPr>
      <w:r>
        <w:t>Ready: alcance y RE revisados; CP aplicables completos; contratos físicos confirmados; UX y fixtures preparados; owner y prioridad asignados.</w:t>
      </w:r>
    </w:p>
    <w:p>
      <w:pPr>
        <w:pStyle w:val="ListBullet"/>
      </w:pPr>
      <w:r>
        <w:t>Done: CP/QA ejecutados; regresión protegida; datos/estados/audit coherentes; UX revisada; no bloqueantes; documentación y ticket con evidencia.</w:t>
      </w:r>
    </w:p>
    <w:p>
      <w:pPr>
        <w:pStyle w:val="ListBullet"/>
      </w:pPr>
      <w:r>
        <w:t>No cerrar por número de páginas, número de tests o compilación: debe demostrarse el resultado funcional de cada criterio.</w:t>
      </w:r>
    </w:p>
    <w:p>
      <w:bookmarkStart w:id="21" w:name="s21"/>
      <w:pPr>
        <w:pStyle w:val="Heading1"/>
      </w:pPr>
      <w:r>
        <w:t>N3.20 Riesgos, bloqueos y decisiones</w:t>
      </w:r>
      <w:bookmarkEnd w:id="21"/>
    </w:p>
    <w:p>
      <w:r>
        <w:t>Private cloud y multi-región requieren caso comercial; no se consideran capacidades actuales.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400"/>
        <w:gridCol w:w="4960"/>
      </w:tblGrid>
      <w:tr>
        <w:trPr>
          <w:cantSplit/>
          <w:tblHeader/>
        </w:trPr>
        <w:tc>
          <w:tcPr>
            <w:tcW w:type="dxa" w:w="44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Decisión</w:t>
            </w:r>
          </w:p>
        </w:tc>
        <w:tc>
          <w:tcPr>
            <w:tcW w:type="dxa" w:w="49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Responsable / momento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Mapeo a contratos y estados existentes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CTO + Desarrollo; antes de implementar. No modificar contratos productivos por etiqueta documental.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Políticas/umbrales tenant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PO + Operación; antes del piloto. Fixtures no son valores productivos.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UX y automatización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UX + QA; antes de pasar historia a Ready.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Evidencia de cierre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QA + PO + CTO; antes del gate correspondiente.</w:t>
            </w:r>
          </w:p>
        </w:tc>
      </w:tr>
    </w:tbl>
    <w:p>
      <w:pPr>
        <w:pStyle w:val="Small"/>
      </w:pPr>
    </w:p>
    <w:p>
      <w:bookmarkStart w:id="22" w:name="s22"/>
      <w:pPr>
        <w:pStyle w:val="Heading1"/>
      </w:pPr>
      <w:r>
        <w:t>N3.21 Anexo sugerido a Sistemas</w:t>
      </w:r>
      <w:bookmarkEnd w:id="22"/>
    </w:p>
    <w:p>
      <w:r>
        <w:t>Diseño técnico por completar al contrastar repositorio: interfaces físicas, persistencia, migraciones, colas, retries, observabilidad y rollback. Mantener contratos existentes cuando sean suficientes. Este apartado no obliga lenguaje, endpoints o microservicios nuevos.</w:t>
      </w:r>
    </w:p>
    <w:p>
      <w:r>
        <w:t>Para módulos del core conservar la infraestructura reportada: PostgreSQL, Redis, MinIO y Keycloak; extracción Gemini con respaldo DeepSeek. Versiones, nombres de servicio, comandos de despliegue y rutas reales deben provenir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 xml:space="preserve">NEXT DOC AI · 07/09/2026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rPr>
        <w:b/>
        <w:color w:val="DA243C"/>
      </w:rPr>
      <w:t>NEXT DOC AI</w:t>
    </w:r>
    <w:r>
      <w:t xml:space="preserve">  /  V11  /  N3-MVP4-V11-ENT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72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72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72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72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9" w:lineRule="auto"/>
    </w:pPr>
    <w:rPr>
      <w:rFonts w:ascii="Calibri" w:hAnsi="Calibri"/>
      <w:color w:val="181C2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6639B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67B8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81C2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59" w:lineRule="auto" w:before="0"/>
      <w:contextualSpacing/>
    </w:pPr>
    <w:rPr>
      <w:rFonts w:asciiTheme="majorHAnsi" w:eastAsiaTheme="majorEastAsia" w:hAnsiTheme="majorHAnsi" w:cstheme="majorBidi" w:ascii="Calibri" w:hAnsi="Calibri"/>
      <w:color w:val="181C2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 w:line="269" w:lineRule="auto"/>
    </w:pPr>
    <w:rPr>
      <w:rFonts w:asciiTheme="majorHAnsi" w:eastAsiaTheme="majorEastAsia" w:hAnsiTheme="majorHAnsi" w:cstheme="majorBidi" w:ascii="Calibri" w:hAnsi="Calibri"/>
      <w:i/>
      <w:iCs/>
      <w:color w:val="5C657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before="60" w:after="140"/>
    </w:pPr>
    <w:rPr>
      <w:rFonts w:ascii="Calibri" w:hAnsi="Calibri"/>
      <w:b/>
      <w:bCs/>
      <w:color w:val="5C657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spacing w:after="60" w:line="252" w:lineRule="auto"/>
    </w:pPr>
    <w:rPr>
      <w:rFonts w:ascii="Calibri" w:hAnsi="Calibri"/>
      <w:color w:val="181C25"/>
      <w:sz w:val="18"/>
    </w:rPr>
  </w:style>
  <w:style w:type="paragraph" w:customStyle="1" w:styleId="Small">
    <w:name w:val="Small"/>
    <w:pPr>
      <w:spacing w:after="60" w:line="252" w:lineRule="auto"/>
    </w:pPr>
    <w:rPr>
      <w:rFonts w:ascii="Calibri" w:hAnsi="Calibri"/>
      <w:color w:val="5C6576"/>
      <w:sz w:val="18"/>
    </w:rPr>
  </w:style>
  <w:style w:type="paragraph" w:customStyle="1" w:styleId="Meta">
    <w:name w:val="Meta"/>
    <w:pPr>
      <w:spacing w:after="60" w:line="252" w:lineRule="auto"/>
    </w:pPr>
    <w:rPr>
      <w:rFonts w:ascii="Calibri" w:hAnsi="Calibri"/>
      <w:color w:val="181C2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N3-MVP4-V11-ENT</dc:title>
  <dc:subject>Especificación funcional V11</dc:subject>
  <dc:creator>NEXT DOC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