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ANX-A-V11</w:t>
      </w:r>
    </w:p>
    <w:p>
      <w:pPr>
        <w:pStyle w:val="Title"/>
      </w:pPr>
      <w:r>
        <w:t>Producto, alcance y evaluación comparativa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Propuesta de valor</w:t>
        </w:r>
      </w:hyperlink>
    </w:p>
    <w:p>
      <w:pPr>
        <w:pStyle w:val="Small"/>
      </w:pPr>
      <w:hyperlink w:anchor="s3">
        <w:r>
          <w:rPr>
            <w:color w:val="6639B7"/>
          </w:rPr>
          <w:t>3. Modalidades de adopción</w:t>
        </w:r>
      </w:hyperlink>
    </w:p>
    <w:p>
      <w:pPr>
        <w:pStyle w:val="Small"/>
      </w:pPr>
      <w:hyperlink w:anchor="s4">
        <w:r>
          <w:rPr>
            <w:color w:val="6639B7"/>
          </w:rPr>
          <w:t>4. Unidad comercial</w:t>
        </w:r>
      </w:hyperlink>
    </w:p>
    <w:p>
      <w:pPr>
        <w:pStyle w:val="Small"/>
      </w:pPr>
      <w:hyperlink w:anchor="s5">
        <w:r>
          <w:rPr>
            <w:color w:val="6639B7"/>
          </w:rPr>
          <w:t>5. Evaluación frente a alternativas</w:t>
        </w:r>
      </w:hyperlink>
    </w:p>
    <w:p>
      <w:pPr>
        <w:pStyle w:val="Small"/>
      </w:pPr>
      <w:hyperlink w:anchor="s6">
        <w:r>
          <w:rPr>
            <w:color w:val="6639B7"/>
          </w:rPr>
          <w:t>6. Demostración y promesa</w:t>
        </w:r>
      </w:hyperlink>
    </w:p>
    <w:p>
      <w:pPr>
        <w:pStyle w:val="Small"/>
      </w:pPr>
      <w:hyperlink w:anchor="s7">
        <w:r>
          <w:rPr>
            <w:color w:val="6639B7"/>
          </w:rPr>
          <w:t>7. Criterios de elección</w:t>
        </w:r>
      </w:hyperlink>
    </w:p>
    <w:p>
      <w:pPr>
        <w:pStyle w:val="Small"/>
      </w:pPr>
      <w:hyperlink w:anchor="s8">
        <w:r>
          <w:rPr>
            <w:color w:val="6639B7"/>
          </w:rPr>
          <w:t>8. Piloto</w:t>
        </w:r>
      </w:hyperlink>
    </w:p>
    <w:p>
      <w:pPr>
        <w:pStyle w:val="Small"/>
      </w:pPr>
      <w:hyperlink w:anchor="s9">
        <w:r>
          <w:rPr>
            <w:color w:val="6639B7"/>
          </w:rPr>
          <w:t>9. Empaquetado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N3-MVP0-V11-REL, N3-MVP0-V11-DOC, N3-MVP0-V11-WFL, N3-MVP0-V11-STU.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Propuesta de valor</w:t>
      </w:r>
      <w:bookmarkEnd w:id="2"/>
    </w:p>
    <w:p>
      <w:r>
        <w:t>NEXT DOC AI convierte documentos y obligaciones de un proceso en resultados verificables. El cliente compra un ciclo operativo: ingreso, lectura, validación, tareas, evidencia y seguimiento. Separar extracción de datos, gestión documental y ejecución de procesos permite demostrar qué aporta cada módulo.</w:t>
      </w:r>
    </w:p>
    <w:p>
      <w:bookmarkStart w:id="3" w:name="s3"/>
      <w:pPr>
        <w:pStyle w:val="Heading1"/>
      </w:pPr>
      <w:r>
        <w:t>3. Modalidades de adopción</w:t>
      </w:r>
      <w:bookmarkEnd w:id="3"/>
    </w:p>
    <w:p>
      <w:r>
        <w:t>Standalone usa tenant, usuarios, permisos y portal propios. Embed reutiliza la identidad del host con autorización local. Un cliente puede combinar ambas modalidades sobre el mismo expediente; no deben crearse copias de documentos por cada aplicación anfitriona.</w:t>
      </w:r>
    </w:p>
    <w:p>
      <w:bookmarkStart w:id="4" w:name="s4"/>
      <w:pPr>
        <w:pStyle w:val="Heading1"/>
      </w:pPr>
      <w:r>
        <w:t>4. Unidad comercial</w:t>
      </w:r>
      <w:bookmarkEnd w:id="4"/>
    </w:p>
    <w:p>
      <w:r>
        <w:t>Definir plan, volumen documental, almacenamiento, usuarios y límites antes de contratar. La cuota controla admisión y consumo; nunca borra evidencia ni oculta obligaciones pendientes. Mostrar el coste estimado y la unidad medida por tenant con conciliación contra consumo registrado.</w:t>
      </w:r>
    </w:p>
    <w:p>
      <w:bookmarkStart w:id="5" w:name="s5"/>
      <w:pPr>
        <w:pStyle w:val="Heading1"/>
      </w:pPr>
      <w:r>
        <w:t>5. Evaluación frente a alternativas</w:t>
      </w:r>
      <w:bookmarkEnd w:id="5"/>
    </w:p>
    <w:p>
      <w:r>
        <w:t>El benchmark se utiliza como protocolo de evaluación, no como ranking vigente de proveedores. Comparar con la misma muestra, idioma, tipología, dificultad y criterio de aceptación. Registrar fecha, versión, configuración, coste total, revisiones humanas y pruebas fallidas. No se certifican aquí capacidades comerciales actuales de terceros.</w:t>
      </w:r>
    </w:p>
    <w:p>
      <w:bookmarkStart w:id="6" w:name="s6"/>
      <w:pPr>
        <w:pStyle w:val="Heading1"/>
      </w:pPr>
      <w:r>
        <w:t>6. Demostración y promesa</w:t>
      </w:r>
      <w:bookmarkEnd w:id="6"/>
    </w:p>
    <w:p>
      <w:r>
        <w:t>La demo del core se acepta con G-DEMO. La promesa de procesos comerciales necesita 0H. Una pantalla diseñada, un documento de alcance o una suite planificada no prueban una función. Presentar el estado de cada capacidad antes de venderla.</w:t>
      </w:r>
    </w:p>
    <w:p>
      <w:bookmarkStart w:id="7" w:name="s7"/>
      <w:pPr>
        <w:pStyle w:val="Heading1"/>
      </w:pPr>
      <w:r>
        <w:t>7. Criterios de elección</w:t>
      </w:r>
      <w:bookmarkEnd w:id="7"/>
    </w:p>
    <w:p>
      <w:r>
        <w:t>Medir exactitud de campos críticos, falsos positivos de validación, tiempo humano por expediente, trazabilidad, aislamiento, exportabilidad y continuidad. Evaluar extracción y decisión por separado: una transcripción correcta no garantiza que el documento cumpla la obligación.</w:t>
      </w:r>
    </w:p>
    <w:p>
      <w:bookmarkStart w:id="8" w:name="s8"/>
      <w:pPr>
        <w:pStyle w:val="Heading1"/>
      </w:pPr>
      <w:r>
        <w:t>8. Piloto</w:t>
      </w:r>
      <w:bookmarkEnd w:id="8"/>
    </w:p>
    <w:p>
      <w:r>
        <w:t>Elegir un proceso, un tenant y un corpus autorizado. Fijar baseline manual, criterio de éxito, responsables y período de observación. Registrar errores por clase, no sólo media. No extrapolar el lote de demo a capacidad industrial.</w:t>
      </w:r>
    </w:p>
    <w:p>
      <w:bookmarkStart w:id="9" w:name="s9"/>
      <w:pPr>
        <w:pStyle w:val="Heading1"/>
      </w:pPr>
      <w:r>
        <w:t>9. Empaquetado</w:t>
      </w:r>
      <w:bookmarkEnd w:id="9"/>
    </w:p>
    <w:p>
      <w:r>
        <w:t>El paquete base contiene capacidades certificadas; los módulos futuros permanecen deshabilitados hasta su gate. Un partner puede configurar sin adquirir acceso a los documentos del cliente por defecto. Marketplace y funciones enterprise requieren aceptación separada.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REL.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REL;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REL · Certificación, regresión y release</w:t>
      </w:r>
    </w:p>
    <w:p>
      <w:r>
        <w:t>CERTIFICAR; CONSTRUIR QA UI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RE-REL-01 · Infraestructura obligatoria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Ejecutar integración con NEXTDOCS_PRUEBA_OBLIGATORIA=true. PostgreSQL, Redis, MinIO y Keycloak deben estar disponibles; omitir pruebas no cuenta como éxito. Verificar QA-REL-01 a QA-REL-04.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RE-REL-02 · Regresión del core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Usar 73 unitarias y 174 de integración reportadas como inventario inicial, verificando el conteo real en repo. Agregar pruebas no autoriza perder cobertura existente. Verificar QA-REL-05 a QA-REL-08.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RE-REL-03 · Recorrido humano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Antes de demo ejecutar login, carga, tipo, visor, corrección, excepción y dashboard. Repetir específicamente captura genérica. Verificar QA-REL-09 a QA-REL-12.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RE-REL-04 · Corpus real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Procesar 10–15 documentos autorizados para primera prueba; no extrapolar a precisión industrial. Gold corpus de release tiene etiquetas revisadas y métricas por tipo/campo. Verificar QA-REL-13 a QA-REL-16.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RE-REL-05 · Secretos y acceso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Rotar la clave Gemini antes de datos cliente; registrar evidencia de revocación y funcionamiento sin guardar valor. Revisar también que los artefactos de UI no contengan secretos. Verificar QA-REL-17 a QA-REL-20.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RE-REL-06 · Carga y resiliencia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se conoce la capacidad productiva. Registrar perfil acordado antes de medir; el gate exige cero pérdidas/duplicados y comparar latencia con objetivo aprobado. Verificar QA-REL-21 a QA-REL-24.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RE-REL-07 · Dos hitos distintos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G-DEMO certifica sólo IA Docs existente. 0H requiere Workflow, Studio, Supervisor, terceros y COMEX probados además del core. No exigir módulos nuevos para validar demo documental. Verificar QA-REL-25 a QA-REL-28.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RE-REL-08 · Despliegue y rollback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Fijar build, migraciones compatibles, backup, observabilidad y reversa. El rollback de app no implica borrar datos ni revertir migraciones destructivas sin plan. Verificar QA-REL-29 a QA-REL-32.</w:t>
            </w:r>
          </w:p>
        </w:tc>
      </w:tr>
    </w:tbl>
    <w:p>
      <w:pPr>
        <w:pStyle w:val="Small"/>
      </w:pPr>
    </w:p>
    <w:p>
      <w:pPr>
        <w:pStyle w:val="Heading2"/>
      </w:pPr>
      <w:r>
        <w:t>DOC · IA Docs: ingesta, extracción y revisión</w:t>
      </w:r>
    </w:p>
    <w:p>
      <w:r>
        <w:t>CONSERVAR + CERTIFICAR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RE-DOC-01 · Ingesta segura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Aceptar sólo archivos dentro de la política de tamaño, con contenido real permitido y antivirus satisfactorio. Un original rechazado no inicia extracción. Los límites son configuración existente a registrar antes de la prueba. Verificar QA-DOC-01 a QA-DOC-04.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RE-DOC-02 · Idempotencia documental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repetición de la misma solicitud dentro del mismo tenant retorna su resultado previo. Un archivo semejante o perteneciente a otro tenant no se deduplica como si fuera el mismo recurso autorizado. Verificar QA-DOC-05 a QA-DOC-08.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RE-DOC-03 · Clasificación y captura genérica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Clasificar sin selección previa entre los tipos activos. Un documento fuera del catálogo conserva texto y facts genéricos; ausencia de tipo no equivale a documento vacío. Verificar QA-DOC-09 a QA-DOC-12.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RE-DOC-04 · Extracción multiproveedor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Gemini es el proveedor reportado y DeepSeek el respaldo. Registrar proveedor usado y separar indisponibilidad de baja confianza. El fallback respeta política de datos y presupuesto. Verificar QA-DOC-13 a QA-DOC-16.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RE-DOC-05 · Umbrales y reglas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política determina qué campos críticos necesitan revisión. Para QA usar umbral sintético 0,90; no declarar ese valor como umbral vigente del producto. Una regla sensible prevalece sobre la confianza. Verificar QA-DOC-17 a QA-DOC-20.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RE-DOC-06 · Corrección concurrente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Toda corrección requiere permiso, motivo y versión leída. Un segundo revisor no puede sobrescribir silenciosamente una corrección posterior. La evidencia original se conserva. Verificar QA-DOC-21 a QA-DOC-24.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RE-DOC-07 · Aprendizaje y tipos nuevos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corrección alimenta evidencia de aprendizaje; no autoriza publicar automáticamente reglas, prompts o tipos. Registrar el candidato y aplicar aprobación/regresión al activar una nueva configuración. Verificar QA-DOC-25 a QA-DOC-28.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RE-DOC-08 · Certificación del recorrido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cierre requiere evidencia del navegador y documentos reales autorizados. Las 247 pruebas reportadas son una línea de partida, no un resultado ejecutado en esta V11. Verificar QA-DOC-29 a QA-DOC-32.</w:t>
            </w:r>
          </w:p>
        </w:tc>
      </w:tr>
    </w:tbl>
    <w:p>
      <w:pPr>
        <w:pStyle w:val="Small"/>
      </w:pPr>
    </w:p>
    <w:p>
      <w:pPr>
        <w:pStyle w:val="Heading2"/>
      </w:pPr>
      <w:r>
        <w:t>WFL · Workflow Core y tareas documentales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RE-WFL-01 · Inicio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instancia sólo usa definición publicada y fija versión, tenant, datos iniciales y overlays. Publicar v2 no migra una instancia activa v1. Verificar QA-WFL-01 a QA-WFL-04.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RE-WFL-02 · Catálogo de nodos acotado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MVP0 admite inicio, requisito documental, regla determinista, decisión exclusiva, tarea humana, espera/SLA y fin. Firma y automatización general se resuelven en etapas posteriores. Verificar QA-WFL-05 a QA-WFL-08.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RE-WFL-03 · Activaciones idempotentes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nodo registra su activación lógica. Reinicio del worker o replay de evento no crea otra tarea ni ejecuta de nuevo un efecto confirmado. Verificar QA-WFL-09 a QA-WFL-12.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RE-WFL-04 · Dependencias y decisiones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Evaluar condiciones sobre facts y políticas de la versión fijada. La ausencia de un fact requerido bloquea la decisión; no se interpreta null como falso ni cero. Verificar QA-WFL-13 a QA-WFL-16.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RE-WFL-05 · Asignación y resultado de tarea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tarea sólo la completa un actor autorizado sobre su revisión vigente. Aprobación o rechazo deja resultado y evidencia; rechazo siempre requiere motivo. Verificar QA-WFL-17 a QA-WFL-20.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RE-WFL-06 · SLA y suspensión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Calcular vencimientos con calendario y zona del tenant; los timers son idempotentes. La pausa requiere motivo y política explícita sobre cómputo del plazo. Verificar QA-WFL-21 a QA-WFL-24.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RE-WFL-07 · Finales consistentes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Completar sólo cuando requisitos y tareas bloqueantes estén resueltos. Cancelar invalida trabajo pendiente; COMPLETADA no transiciona a RECHAZADA por enumeración de estados. Verificar QA-WFL-25 a QA-WFL-28.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RE-WFL-08 · Recuperación y evolución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reapertura o migración es una acción explícita y auditada, no una actualización directa de estado. El historial de una ejecución se reconstruye con sus versiones. Verificar QA-WFL-29 a QA-WFL-32.</w:t>
            </w:r>
          </w:p>
        </w:tc>
      </w:tr>
    </w:tbl>
    <w:p>
      <w:pPr>
        <w:pStyle w:val="Small"/>
      </w:pPr>
    </w:p>
    <w:p>
      <w:pPr>
        <w:pStyle w:val="Heading2"/>
      </w:pPr>
      <w:r>
        <w:t>STU · Template Registry y Studio guiado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RE-STU-01 · Autoría y pertenencia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Guardar owner, tenant autor, fuente y versión origen desde la creación. Un fork preserva provenance y no da acceso al tenant original. Verificar QA-STU-01 a QA-STU-04.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RE-STU-02 · Schema funcional estable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formato guiado representa la misma definición que ejecuta WFL. Requisitos, decisiones y roles deben poder reconstruirse sin instrucciones manuales fuera del schema. Verificar QA-STU-05 a QA-STU-08.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RE-STU-03 · Validación de grafo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Exigir inicio y fin alcanzable, sin referencias huérfanas ni ciclos no permitidos. Cada decisión debe definir una ruta de error o dato faltante. Verificar QA-STU-09 a QA-STU-12.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RE-STU-04 · Overlays compatibles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Aplicar overlays en orden declarado. Un conflicto entre obligaciones requiere resolución explícita; no gana silenciosamente el último overlay. Verificar QA-STU-13 a QA-STU-16.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RE-STU-05 · Pruebas antes de publicar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plantilla candidata debe ejecutar fixtures representativos y casos negativos. El resultado queda ligado al hash lógico de la definición; una edición invalida la prueba anterior. Verificar QA-STU-17 a QA-STU-20.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RE-STU-06 · Publicación y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Publicar genera versión inmutable. Requiere rol, validación, tests y registro de cambio; no permite sobrescribir versión usada. Verificar QA-STU-21 a QA-STU-24.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RE-STU-07 · Retiro y compatibilidad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Retirar impide nuevas instalaciones/inicios según política; no destruye ejecuciones existentes. Describir qué cambia antes de adoptar una nueva versión. Verificar QA-STU-25 a QA-STU-28.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RE-STU-08 · UX guiada reproducible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operación se realiza en interfaz, sin editar base de datos. Presentar errores por nodo, vista previa de terceros y resumen de publicación. Verificar QA-STU-29 a QA-STU-32.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Cierre y responsables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ANX-A-V11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ANX-A-V11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