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ANX-B-V11</w:t>
      </w:r>
    </w:p>
    <w:p>
      <w:pPr>
        <w:pStyle w:val="Title"/>
      </w:pPr>
      <w:r>
        <w:t>Arquitectura, herramientas y operación</w:t>
      </w:r>
    </w:p>
    <w:p>
      <w:pPr>
        <w:pStyle w:val="Subtitle"/>
      </w:pPr>
      <w:r>
        <w:t>Referencia transversal · Contenido funcional, responsabilidades y criterios verificables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1. Uso y aplicabilidad</w:t>
        </w:r>
      </w:hyperlink>
    </w:p>
    <w:p>
      <w:pPr>
        <w:pStyle w:val="Small"/>
      </w:pPr>
      <w:hyperlink w:anchor="s2">
        <w:r>
          <w:rPr>
            <w:color w:val="6639B7"/>
          </w:rPr>
          <w:t>2. Límites de responsabilidad</w:t>
        </w:r>
      </w:hyperlink>
    </w:p>
    <w:p>
      <w:pPr>
        <w:pStyle w:val="Small"/>
      </w:pPr>
      <w:hyperlink w:anchor="s3">
        <w:r>
          <w:rPr>
            <w:color w:val="6639B7"/>
          </w:rPr>
          <w:t>3. Herramientas reportadas</w:t>
        </w:r>
      </w:hyperlink>
    </w:p>
    <w:p>
      <w:pPr>
        <w:pStyle w:val="Small"/>
      </w:pPr>
      <w:hyperlink w:anchor="s4">
        <w:r>
          <w:rPr>
            <w:color w:val="6639B7"/>
          </w:rPr>
          <w:t>4. Persistencia</w:t>
        </w:r>
      </w:hyperlink>
    </w:p>
    <w:p>
      <w:pPr>
        <w:pStyle w:val="Small"/>
      </w:pPr>
      <w:hyperlink w:anchor="s5">
        <w:r>
          <w:rPr>
            <w:color w:val="6639B7"/>
          </w:rPr>
          <w:t>5. Trabajo asíncrono</w:t>
        </w:r>
      </w:hyperlink>
    </w:p>
    <w:p>
      <w:pPr>
        <w:pStyle w:val="Small"/>
      </w:pPr>
      <w:hyperlink w:anchor="s6">
        <w:r>
          <w:rPr>
            <w:color w:val="6639B7"/>
          </w:rPr>
          <w:t>6. Eventos</w:t>
        </w:r>
      </w:hyperlink>
    </w:p>
    <w:p>
      <w:pPr>
        <w:pStyle w:val="Small"/>
      </w:pPr>
      <w:hyperlink w:anchor="s7">
        <w:r>
          <w:rPr>
            <w:color w:val="6639B7"/>
          </w:rPr>
          <w:t>7. Despliegue</w:t>
        </w:r>
      </w:hyperlink>
    </w:p>
    <w:p>
      <w:pPr>
        <w:pStyle w:val="Small"/>
      </w:pPr>
      <w:hyperlink w:anchor="s8">
        <w:r>
          <w:rPr>
            <w:color w:val="6639B7"/>
          </w:rPr>
          <w:t>8. Observabilidad</w:t>
        </w:r>
      </w:hyperlink>
    </w:p>
    <w:p>
      <w:pPr>
        <w:pStyle w:val="Small"/>
      </w:pPr>
      <w:hyperlink w:anchor="s9">
        <w:r>
          <w:rPr>
            <w:color w:val="6639B7"/>
          </w:rPr>
          <w:t>9. Fallo y recuperación</w:t>
        </w:r>
      </w:hyperlink>
    </w:p>
    <w:p>
      <w:pPr>
        <w:pStyle w:val="Small"/>
      </w:pPr>
      <w:hyperlink w:anchor="s10">
        <w:r>
          <w:rPr>
            <w:color w:val="6639B7"/>
          </w:rPr>
          <w:t>Mapa mental y relación entre capacidades</w:t>
        </w:r>
      </w:hyperlink>
    </w:p>
    <w:p>
      <w:pPr>
        <w:pStyle w:val="Small"/>
      </w:pPr>
      <w:hyperlink w:anchor="s11">
        <w:r>
          <w:rPr>
            <w:color w:val="6639B7"/>
          </w:rPr>
          <w:t>Controles aplicables y pruebas de aceptación</w:t>
        </w:r>
      </w:hyperlink>
    </w:p>
    <w:p>
      <w:pPr>
        <w:pStyle w:val="Small"/>
      </w:pPr>
      <w:hyperlink w:anchor="s12">
        <w:r>
          <w:rPr>
            <w:color w:val="6639B7"/>
          </w:rPr>
          <w:t>Cierre y responsables</w:t>
        </w:r>
      </w:hyperlink>
    </w:p>
    <w:p>
      <w:bookmarkStart w:id="1" w:name="s1"/>
      <w:pPr>
        <w:pStyle w:val="Heading1"/>
      </w:pPr>
      <w:r>
        <w:t>1. Uso y aplicabilidad</w:t>
      </w:r>
      <w:bookmarkEnd w:id="1"/>
    </w:p>
    <w:p>
      <w:r>
        <w:t>Leer junto con N3-MVP0-V11-IAM, N3-MVP0-V11-DOC, N3-MVP0-V11-WFL, N3-MVP0-V11-GOV, N3-MVP4-V11-DR. Los anexos no adelantan el roadmap ni acreditan pruebas. Las decisiones del N0 y los criterios N3 gobiernan el cierre.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2" w:name="s2"/>
      <w:pPr>
        <w:pStyle w:val="Heading1"/>
      </w:pPr>
      <w:r>
        <w:t>2. Límites de responsabilidad</w:t>
      </w:r>
      <w:bookmarkEnd w:id="2"/>
    </w:p>
    <w:p>
      <w:r>
        <w:t>Portal presenta acciones y resultados; IAM decide acceso; DOC conserva originales y facts; WFL mantiene instancias y tareas; STU publica definiciones; SUP evalúa políticas; GOV conserva evidencia y métricas. Estos límites funcionales no obligan a desplegar un microservicio por módulo.</w:t>
      </w:r>
    </w:p>
    <w:p>
      <w:bookmarkStart w:id="3" w:name="s3"/>
      <w:pPr>
        <w:pStyle w:val="Heading1"/>
      </w:pPr>
      <w:r>
        <w:t>3. Herramientas reportadas</w:t>
      </w:r>
      <w:bookmarkEnd w:id="3"/>
    </w:p>
    <w:p>
      <w:r>
        <w:t>La base declara PostgreSQL, Redis, MinIO y Keycloak con contenedores reales en integración. Gemini es proveedor principal y DeepSeek fallback reportado. Confirmar versiones, configuración y contratos en el repositorio antes de modificar. V11 no inventa endpoints existentes.</w:t>
      </w:r>
    </w:p>
    <w:p>
      <w:bookmarkStart w:id="4" w:name="s4"/>
      <w:pPr>
        <w:pStyle w:val="Heading1"/>
      </w:pPr>
      <w:r>
        <w:t>4. Persistencia</w:t>
      </w:r>
      <w:bookmarkEnd w:id="4"/>
    </w:p>
    <w:p>
      <w:r>
        <w:t>La metadata transaccional y la referencia del objeto deben correlacionarse. Un objeto subido sin confirmación de metadata queda huérfano controlado; una referencia cuyo objeto falta no se presenta como documento válido. La reconciliación informa y repara con autorización, sin pérdida de historia.</w:t>
      </w:r>
    </w:p>
    <w:p>
      <w:bookmarkStart w:id="5" w:name="s5"/>
      <w:pPr>
        <w:pStyle w:val="Heading1"/>
      </w:pPr>
      <w:r>
        <w:t>5. Trabajo asíncrono</w:t>
      </w:r>
      <w:bookmarkEnd w:id="5"/>
    </w:p>
    <w:p>
      <w:r>
        <w:t>El ingreso confirma recepción durable y devuelve referencia de trabajo. El worker ejecuta extracción y validación; el portal consulta estado. Un reintento conserva identidad del trabajo y comprueba resultados ya confirmados. Los errores definitivos se distinguen de fallos transitorios.</w:t>
      </w:r>
    </w:p>
    <w:p>
      <w:bookmarkStart w:id="6" w:name="s6"/>
      <w:pPr>
        <w:pStyle w:val="Heading1"/>
      </w:pPr>
      <w:r>
        <w:t>6. Eventos</w:t>
      </w:r>
      <w:bookmarkEnd w:id="6"/>
    </w:p>
    <w:p>
      <w:r>
        <w:t>Todo intercambio transporta tenant, recurso, revisión, correlación, versión de contrato y fecha. El consumidor valida firma cuando corresponda, permisos y orden; deduplica por identidad del evento. La entrega repetida no genera una segunda tarea ni un segundo cargo.</w:t>
      </w:r>
    </w:p>
    <w:p>
      <w:bookmarkStart w:id="7" w:name="s7"/>
      <w:pPr>
        <w:pStyle w:val="Heading1"/>
      </w:pPr>
      <w:r>
        <w:t>7. Despliegue</w:t>
      </w:r>
      <w:bookmarkEnd w:id="7"/>
    </w:p>
    <w:p>
      <w:r>
        <w:t>Separar configuración de entorno, secretos y datos. Validar migraciones en copia representativa; probar rollback de aplicación compatible con esquema. No ejecutar una migración destructiva sin plan y respaldo comprobado. Mantener versiones activas durante despliegue gradual.</w:t>
      </w:r>
    </w:p>
    <w:p>
      <w:bookmarkStart w:id="8" w:name="s8"/>
      <w:pPr>
        <w:pStyle w:val="Heading1"/>
      </w:pPr>
      <w:r>
        <w:t>8. Observabilidad</w:t>
      </w:r>
      <w:bookmarkEnd w:id="8"/>
    </w:p>
    <w:p>
      <w:r>
        <w:t>Seguir una correlación desde ingreso hasta export o resultado del host. Medir cola, latencia por fase, errores, retry, DLQ, consumo y saturación. Los logs no contienen secretos ni archivos íntegros. Las métricas agregadas también respetan aislamiento.</w:t>
      </w:r>
    </w:p>
    <w:p>
      <w:bookmarkStart w:id="9" w:name="s9"/>
      <w:pPr>
        <w:pStyle w:val="Heading1"/>
      </w:pPr>
      <w:r>
        <w:t>9. Fallo y recuperación</w:t>
      </w:r>
      <w:bookmarkEnd w:id="9"/>
    </w:p>
    <w:p>
      <w:r>
        <w:t>Si IA cae, el trabajo permanece pendiente o fallido recuperable; si IAM no puede validar, no se autoriza acceso; si el host cae, la entrega queda en retry; si no se persiste evidencia, una acción sensible no se presenta como cerrada. DR detalla reconciliación y restauración.</w:t>
      </w:r>
    </w:p>
    <w:p>
      <w:bookmarkStart w:id="10" w:name="s10"/>
      <w:pPr>
        <w:pStyle w:val="Heading1"/>
      </w:pPr>
      <w:r>
        <w:t>Mapa mental y relación entre capacidades</w:t>
      </w:r>
      <w:bookmarkEnd w:id="10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M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de reglas del módulo IAM. El detalle verificable está en su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M_r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Capacidades que consume IAM; contratos completos en N0-V11-INTERCONEXIONES.</w:t>
      </w:r>
    </w:p>
    <w:p>
      <w:bookmarkStart w:id="11" w:name="s11"/>
      <w:pPr>
        <w:pStyle w:val="Heading1"/>
      </w:pPr>
      <w:r>
        <w:t>Controles aplicables y pruebas de aceptación</w:t>
      </w:r>
      <w:bookmarkEnd w:id="11"/>
    </w:p>
    <w:p>
      <w:pPr>
        <w:pStyle w:val="Heading2"/>
      </w:pPr>
      <w:r>
        <w:t>IAM · Identidad, tenancy y colaboración externa</w:t>
      </w:r>
    </w:p>
    <w:p>
      <w:r>
        <w:t>CONSERVAR IAM/SSO; CONSTRUIR delegación y tareas externas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RE-IAM-01 · Aislamiento efectivo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Derivar tenant autorizado de sesión y membresía. Aplicar control a lectura, escritura, búsqueda y descarga; rechazar cruces aunque el recurso exista. Verificar QA-IAM-01 a QA-IAM-04.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RE-IAM-02 · SSO y contexto host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Conservar SSO reportado con Follow, CIMA y Valid360. Validar emisor, audiencia, vigencia y usuario local habilitado; el host no concede permisos internos. Verificar QA-IAM-05 a QA-IAM-08.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RE-IAM-03 · Delegación explícita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El tenant cliente concede scopes y expiración a un partner. Sólo esos scopes habilitan configuración; propiedad comercial no otorga acceso permanente a datos. Verificar QA-IAM-09 a QA-IAM-12.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RE-IAM-04 · Acción externa de propósito único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Vincular token a una tarea y acción autorizada. TTL se evalúa en servidor; fixture de QA usa 15 minutos. Token no permite abrir listado de expedientes. Verificar QA-IAM-13 a QA-IAM-16.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RE-IAM-05 · Revocación y consumo atómico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Consultar revocación antes del efecto. El token de un uso se consume en la misma unidad de consistencia que la acción; reintento no repite efectos. Verificar QA-IAM-17 a QA-IAM-20.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RE-IAM-06 · Mínimo privilegio visible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Separar el contenido de la tarea de notas internas, otras tareas, métricas de costos y reglas administrativas. El control se aplica a API además de UI. Verificar QA-IAM-21 a QA-IAM-24.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RE-IAM-07 · Invitación y reemisión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reemisión invalida el token anterior cuando la política sea single-active. Destinatario debe estar asociado a la tarea; cambios quedan auditados. Verificar QA-IAM-25 a QA-IAM-28.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RE-IAM-08 · Sesión y seguridad de navegador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No introducir claves permanentes de servicio en navegador. Expiración, logout y autorización de deep links deben preservar la frontera entre host y NEXT. Verificar QA-IAM-29 a QA-IAM-32.</w:t>
            </w:r>
          </w:p>
        </w:tc>
      </w:tr>
    </w:tbl>
    <w:p>
      <w:pPr>
        <w:pStyle w:val="Small"/>
      </w:pPr>
    </w:p>
    <w:p>
      <w:pPr>
        <w:pStyle w:val="Heading2"/>
      </w:pPr>
      <w:r>
        <w:t>DOC · IA Docs: ingesta, extracción y revisión</w:t>
      </w:r>
    </w:p>
    <w:p>
      <w:r>
        <w:t>CONSERVAR + CERTIFICAR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RE-DOC-01 · Ingesta segura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Aceptar sólo archivos dentro de la política de tamaño, con contenido real permitido y antivirus satisfactorio. Un original rechazado no inicia extracción. Los límites son configuración existente a registrar antes de la prueba. Verificar QA-DOC-01 a QA-DOC-04.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RE-DOC-02 · Idempotencia documental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repetición de la misma solicitud dentro del mismo tenant retorna su resultado previo. Un archivo semejante o perteneciente a otro tenant no se deduplica como si fuera el mismo recurso autorizado. Verificar QA-DOC-05 a QA-DOC-08.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RE-DOC-03 · Clasificación y captura genérica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Clasificar sin selección previa entre los tipos activos. Un documento fuera del catálogo conserva texto y facts genéricos; ausencia de tipo no equivale a documento vacío. Verificar QA-DOC-09 a QA-DOC-12.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RE-DOC-04 · Extracción multiproveedor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Gemini es el proveedor reportado y DeepSeek el respaldo. Registrar proveedor usado y separar indisponibilidad de baja confianza. El fallback respeta política de datos y presupuesto. Verificar QA-DOC-13 a QA-DOC-16.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RE-DOC-05 · Umbrales y reglas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política determina qué campos críticos necesitan revisión. Para QA usar umbral sintético 0,90; no declarar ese valor como umbral vigente del producto. Una regla sensible prevalece sobre la confianza. Verificar QA-DOC-17 a QA-DOC-20.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RE-DOC-06 · Corrección concurrente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Toda corrección requiere permiso, motivo y versión leída. Un segundo revisor no puede sobrescribir silenciosamente una corrección posterior. La evidencia original se conserva. Verificar QA-DOC-21 a QA-DOC-24.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RE-DOC-07 · Aprendizaje y tipos nuevos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corrección alimenta evidencia de aprendizaje; no autoriza publicar automáticamente reglas, prompts o tipos. Registrar el candidato y aplicar aprobación/regresión al activar una nueva configuración. Verificar QA-DOC-25 a QA-DOC-28.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RE-DOC-08 · Certificación del recorrido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El cierre requiere evidencia del navegador y documentos reales autorizados. Las 247 pruebas reportadas son una línea de partida, no un resultado ejecutado en esta V11. Verificar QA-DOC-29 a QA-DOC-32.</w:t>
            </w:r>
          </w:p>
        </w:tc>
      </w:tr>
    </w:tbl>
    <w:p>
      <w:pPr>
        <w:pStyle w:val="Small"/>
      </w:pPr>
    </w:p>
    <w:p>
      <w:pPr>
        <w:pStyle w:val="Heading2"/>
      </w:pPr>
      <w:r>
        <w:t>WFL · Workflow Core y tareas documentales</w:t>
      </w:r>
    </w:p>
    <w:p>
      <w:r>
        <w:t>CONSTRUIR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RE-WFL-01 · Inicio versionado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Una instancia sólo usa definición publicada y fija versión, tenant, datos iniciales y overlays. Publicar v2 no migra una instancia activa v1. Verificar QA-WFL-01 a QA-WFL-04.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RE-WFL-02 · Catálogo de nodos acotado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MVP0 admite inicio, requisito documental, regla determinista, decisión exclusiva, tarea humana, espera/SLA y fin. Firma y automatización general se resuelven en etapas posteriores. Verificar QA-WFL-05 a QA-WFL-08.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RE-WFL-03 · Activaciones idempotentes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Cada nodo registra su activación lógica. Reinicio del worker o replay de evento no crea otra tarea ni ejecuta de nuevo un efecto confirmado. Verificar QA-WFL-09 a QA-WFL-12.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RE-WFL-04 · Dependencias y decisiones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Evaluar condiciones sobre facts y políticas de la versión fijada. La ausencia de un fact requerido bloquea la decisión; no se interpreta null como falso ni cero. Verificar QA-WFL-13 a QA-WFL-16.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RE-WFL-05 · Asignación y resultado de tarea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Una tarea sólo la completa un actor autorizado sobre su revisión vigente. Aprobación o rechazo deja resultado y evidencia; rechazo siempre requiere motivo. Verificar QA-WFL-17 a QA-WFL-20.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RE-WFL-06 · SLA y suspensión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Calcular vencimientos con calendario y zona del tenant; los timers son idempotentes. La pausa requiere motivo y política explícita sobre cómputo del plazo. Verificar QA-WFL-21 a QA-WFL-24.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RE-WFL-07 · Finales consistentes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Completar sólo cuando requisitos y tareas bloqueantes estén resueltos. Cancelar invalida trabajo pendiente; COMPLETADA no transiciona a RECHAZADA por enumeración de estados. Verificar QA-WFL-25 a QA-WFL-28.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RE-WFL-08 · Recuperación y evolución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reapertura o migración es una acción explícita y auditada, no una actualización directa de estado. El historial de una ejecución se reconstruye con sus versiones. Verificar QA-WFL-29 a QA-WFL-32.</w:t>
            </w:r>
          </w:p>
        </w:tc>
      </w:tr>
    </w:tbl>
    <w:p>
      <w:pPr>
        <w:pStyle w:val="Small"/>
      </w:pPr>
    </w:p>
    <w:p>
      <w:pPr>
        <w:pStyle w:val="Heading2"/>
      </w:pPr>
      <w:r>
        <w:t>GOV · DMS, auditoría, KPI y control de costo</w:t>
      </w:r>
    </w:p>
    <w:p>
      <w:r>
        <w:t>CONSERVAR + AJUSTAR integración de procesos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RE-GOV-01 · Original y versionado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Conservar original inmutable y cadena supersedes. Una corrección de facts no reemplaza los bytes originales ni altera el hash de origen. Verificar QA-GOV-01 a QA-GOV-04.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RE-GOV-02 · Retención y legal hold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Legal hold suspende purga normal. Comprobar hold de nuevo inmediatamente antes del borrado; el vencimiento de export temporal no borra originales. Verificar QA-GOV-05 a QA-GOV-08.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RE-GOV-03 · Exportación reproducible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Export incluye índice, manifiesto por archivo y hashes calculados sobre bytes entregados. Revalidar permisos al construir y descargar. Verificar QA-GOV-09 a QA-GOV-12.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RE-GOV-04 · Auditoría útil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Cada mutación sensible exige identidad, instante, recurso y motivo cuando corresponda. Logs técnicos no reemplazan la evidencia funcional. Verificar QA-GOV-13 a QA-GOV-16.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RE-GOV-05 · KPI con población auditable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Cada indicador identifica fórmula, numerador, denominador, filtros y versión. Drill-down devuelve IDs autorizados que explican el agregado. Verificar QA-GOV-17 a QA-GOV-20.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RE-GOV-06 · Tiempo y corrección retrospectiva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Registrar zona, calendario y corte histórico. Recalcular una métrica crea versión de cálculo; no reemplaza silenciosamente el valor previo. Verificar QA-GOV-21 a QA-GOV-24.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RE-GOV-07 · Presupuesto y consumo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Preservar límite mensual por tenant. Reservar o comprobar capacidad de gasto antes de llamadas; evitar doble imputación de un intento confirmado. Verificar QA-GOV-25 a QA-GOV-28.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RE-GOV-08 · Búsqueda y perfiles de columnas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Guardar preferencias de columnas por rol/usuario sin ampliar permisos. Buscar por metadata y texto cuando el índice exista; comunicar retraso de indexación. Verificar QA-GOV-29 a QA-GOV-32.</w:t>
            </w:r>
          </w:p>
        </w:tc>
      </w:tr>
    </w:tbl>
    <w:p>
      <w:pPr>
        <w:pStyle w:val="Small"/>
      </w:pPr>
    </w:p>
    <w:p>
      <w:pPr>
        <w:pStyle w:val="Heading2"/>
      </w:pPr>
      <w:r>
        <w:t>DR · Continuidad, capacidad y recuperación</w:t>
      </w:r>
    </w:p>
    <w:p>
      <w:r>
        <w:t>CONSTRUIR y ENSAYAR sobre operación existente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RE-DR-01 · Objetivos medibles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Acordar RPO/RTO antes del ejercicio; medir recuperación real y pérdida máxima con reloj y corte documentados. Verificar QA-DR-01 a QA-DR-04.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RE-DR-02 · Backup consistente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Respaldar objetos y referencias de DB en corte compatible; incluir configuración necesaria y procedimiento de acceso a secretos sin copiarlos al documento. Verificar QA-DR-05 a QA-DR-08.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RE-DR-03 · Orden de recuperación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Restaurar identidad, datos y objetos antes de habilitar workers y tráfico. Evitar procesamiento con dependencias parciales. Verificar QA-DR-09 a QA-DR-12.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RE-DR-04 · Reconciliación de eventos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Comparar outbox, entregas y efectos antes de replay. No generar IDs nuevos para eventos ya confirmados. Verificar QA-DR-13 a QA-DR-16.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RE-DR-05 · Failover y residencia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Conmutar sólo a topología autorizada y ensayada; evitar dos escritores no coordinados y pérdida de autorización. Verificar QA-DR-17 a QA-DR-20.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RE-DR-06 · Capacidad y degradación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Definir umbrales a partir de mediciones; aplicar cuotas y backpressure conservando solicitudes aceptadas. Verificar QA-DR-21 a QA-DR-24.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RE-DR-07 · Ejercicio y evidencia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Registrar restore real, pruebas DOC/IAM/WFL/GOV y resultados de integridad. Simular sobre entorno aislado. Verificar QA-DR-25 a QA-DR-28.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RE-DR-08 · Cierre de incidente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Cerrar cuando servicio, integridad y backlog estén reconciliados; registrar acciones preventivas y owners. Verificar QA-DR-29 a QA-DR-32.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Cierre y responsables</w:t>
      </w:r>
      <w:bookmarkEnd w:id="12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Responsabilidad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Producto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Ratificar alcance, reglas y configuraciones; aprobar valor y excepciones.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Desarrollo / CTO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Mapear contratos existentes, implementar brechas y revisar seguridad y operación.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QA / UX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Ejecutar casos específicos, verificar interfaz, accesibilidad y evidencia.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Operación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Medir, alertar, resolver fallos y demostrar recuperación.</w:t>
            </w:r>
          </w:p>
        </w:tc>
      </w:tr>
    </w:tbl>
    <w:p>
      <w:pPr>
        <w:pStyle w:val="Small"/>
      </w:pPr>
    </w:p>
    <w:p>
      <w:r>
        <w:t>Evidencia mínima: versión del recurso/política, build y entorno, fixture, actor, acción, resultado esperado y observado, evidencia persistida, defecto y decisión. No marcar Done mientras falte un control bloqueante.</w:t>
      </w:r>
    </w:p>
    <w:p>
      <w:pPr>
        <w:pStyle w:val="Heading1"/>
      </w:pPr>
      <w:r>
        <w:t>Herramientas del core reportado y responsabilidades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846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ramientas_co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Esquema lógico del stack reportado. Las flechas muestran una interacción principal; las respuestas y controles de acceso se omiten para mantener legibilidad. No impone nombres de servicios ni nuevas topologías.</w:t>
      </w:r>
    </w:p>
    <w:p>
      <w:r>
        <w:t>Keycloak soporta identidad; la API valida permiso y tenant. El trabajo documental se procesa asíncronamente; PostgreSQL guarda metadata/estados y MinIO conserva objetos. Redis participa en la infraestructura del trabajo asíncrono. Gemini y DeepSeek son proveedores reportados; el adapter normaliza resultados y registra la elección. Sistemas debe confirmar el reparto exacto de colas y persistencia contra el código existente.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ANX-B-V11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ANX-B-V11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