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Meta"/>
      </w:pPr>
      <w:r>
        <w:t>ANX-C-V11</w:t>
      </w:r>
    </w:p>
    <w:p>
      <w:pPr>
        <w:pStyle w:val="Title"/>
      </w:pPr>
      <w:r>
        <w:t>IA Docs, OCR, schema y calidad</w:t>
      </w:r>
    </w:p>
    <w:p>
      <w:pPr>
        <w:pStyle w:val="Subtitle"/>
      </w:pPr>
      <w:r>
        <w:t>Referencia transversal · Contenido funcional, responsabilidades y criterios verificables</w:t>
      </w:r>
    </w:p>
    <w:p>
      <w:pPr>
        <w:pStyle w:val="Meta"/>
      </w:pPr>
      <w:r>
        <w:t>Versión 11 · 7 de septiembre de 2026 · Estado documental: definición funcional para validación y ejecución.</w:t>
      </w:r>
    </w:p>
    <w:p>
      <w:pPr>
        <w:pStyle w:val="Small"/>
      </w:pPr>
      <w:r>
        <w:t>Responsables: Producto, CTO, Desarrollo, QA, UX y Operación. Jira/Confluence: registrar enlaces reales al importar; los códigos de este paquete son claves documentales, no tickets creados.</w:t>
      </w:r>
    </w:p>
    <w:p>
      <w:pPr>
        <w:pStyle w:val="Heading2"/>
      </w:pPr>
      <w:r>
        <w:t>Índice de lectura</w:t>
      </w:r>
    </w:p>
    <w:p>
      <w:pPr>
        <w:pStyle w:val="Small"/>
      </w:pPr>
      <w:hyperlink w:anchor="s1">
        <w:r>
          <w:rPr>
            <w:color w:val="6639B7"/>
          </w:rPr>
          <w:t>1. Uso y aplicabilidad</w:t>
        </w:r>
      </w:hyperlink>
    </w:p>
    <w:p>
      <w:pPr>
        <w:pStyle w:val="Small"/>
      </w:pPr>
      <w:hyperlink w:anchor="s2">
        <w:r>
          <w:rPr>
            <w:color w:val="6639B7"/>
          </w:rPr>
          <w:t>2. Cadena documental</w:t>
        </w:r>
      </w:hyperlink>
    </w:p>
    <w:p>
      <w:pPr>
        <w:pStyle w:val="Small"/>
      </w:pPr>
      <w:hyperlink w:anchor="s3">
        <w:r>
          <w:rPr>
            <w:color w:val="6639B7"/>
          </w:rPr>
          <w:t>3. Tipos iniciales</w:t>
        </w:r>
      </w:hyperlink>
    </w:p>
    <w:p>
      <w:pPr>
        <w:pStyle w:val="Small"/>
      </w:pPr>
      <w:hyperlink w:anchor="s4">
        <w:r>
          <w:rPr>
            <w:color w:val="6639B7"/>
          </w:rPr>
          <w:t>4. Contrato de extracción</w:t>
        </w:r>
      </w:hyperlink>
    </w:p>
    <w:p>
      <w:pPr>
        <w:pStyle w:val="Small"/>
      </w:pPr>
      <w:hyperlink w:anchor="s5">
        <w:r>
          <w:rPr>
            <w:color w:val="6639B7"/>
          </w:rPr>
          <w:t>5. Fallback</w:t>
        </w:r>
      </w:hyperlink>
    </w:p>
    <w:p>
      <w:pPr>
        <w:pStyle w:val="Small"/>
      </w:pPr>
      <w:hyperlink w:anchor="s6">
        <w:r>
          <w:rPr>
            <w:color w:val="6639B7"/>
          </w:rPr>
          <w:t>6. Corrección y aprendizaje</w:t>
        </w:r>
      </w:hyperlink>
    </w:p>
    <w:p>
      <w:pPr>
        <w:pStyle w:val="Small"/>
      </w:pPr>
      <w:hyperlink w:anchor="s7">
        <w:r>
          <w:rPr>
            <w:color w:val="6639B7"/>
          </w:rPr>
          <w:t>7. Confianza</w:t>
        </w:r>
      </w:hyperlink>
    </w:p>
    <w:p>
      <w:pPr>
        <w:pStyle w:val="Small"/>
      </w:pPr>
      <w:hyperlink w:anchor="s8">
        <w:r>
          <w:rPr>
            <w:color w:val="6639B7"/>
          </w:rPr>
          <w:t>8. Gold corpus</w:t>
        </w:r>
      </w:hyperlink>
    </w:p>
    <w:p>
      <w:pPr>
        <w:pStyle w:val="Small"/>
      </w:pPr>
      <w:hyperlink w:anchor="s9">
        <w:r>
          <w:rPr>
            <w:color w:val="6639B7"/>
          </w:rPr>
          <w:t>9. Evaluación</w:t>
        </w:r>
      </w:hyperlink>
    </w:p>
    <w:p>
      <w:pPr>
        <w:pStyle w:val="Small"/>
      </w:pPr>
      <w:hyperlink w:anchor="s10">
        <w:r>
          <w:rPr>
            <w:color w:val="6639B7"/>
          </w:rPr>
          <w:t>Mapa mental y relación entre capacidades</w:t>
        </w:r>
      </w:hyperlink>
    </w:p>
    <w:p>
      <w:pPr>
        <w:pStyle w:val="Small"/>
      </w:pPr>
      <w:hyperlink w:anchor="s11">
        <w:r>
          <w:rPr>
            <w:color w:val="6639B7"/>
          </w:rPr>
          <w:t>Controles aplicables y pruebas de aceptación</w:t>
        </w:r>
      </w:hyperlink>
    </w:p>
    <w:p>
      <w:pPr>
        <w:pStyle w:val="Small"/>
      </w:pPr>
      <w:hyperlink w:anchor="s12">
        <w:r>
          <w:rPr>
            <w:color w:val="6639B7"/>
          </w:rPr>
          <w:t>Cierre y responsables</w:t>
        </w:r>
      </w:hyperlink>
    </w:p>
    <w:p>
      <w:bookmarkStart w:id="1" w:name="s1"/>
      <w:pPr>
        <w:pStyle w:val="Heading1"/>
      </w:pPr>
      <w:r>
        <w:t>1. Uso y aplicabilidad</w:t>
      </w:r>
      <w:bookmarkEnd w:id="1"/>
    </w:p>
    <w:p>
      <w:r>
        <w:t>Leer junto con N3-MVP0-V11-DOC, N3-MVP0-V11-SUP, N3-MVP0-V11-REL. Los anexos no adelantan el roadmap ni acreditan pruebas. Las decisiones del N0 y los criterios N3 gobiernan el cierre.</w:t>
      </w:r>
    </w:p>
    <w:p>
      <w:r>
        <w:t>G-DEMO certifica el core documental existente. El MVP0 comercial ampliado agrega Workflow Core, Studio guiado, terceros, Supervisor v0 y COMEX ejecutable. Email/WhatsApp siguen retirados del core y se incorporan en MVP1 sólo por gate de producto. Firma es MVP1; Marketplace transaccional MVP2; Sentinel/Copilot avanzados MVP3; capacidades enterprise MVP4.</w:t>
      </w:r>
    </w:p>
    <w:p>
      <w:bookmarkStart w:id="2" w:name="s2"/>
      <w:pPr>
        <w:pStyle w:val="Heading1"/>
      </w:pPr>
      <w:r>
        <w:t>2. Cadena documental</w:t>
      </w:r>
      <w:bookmarkEnd w:id="2"/>
    </w:p>
    <w:p>
      <w:r>
        <w:t>Admitir archivo seguro, clasificar entre tipos habilitados o captura genérica, extraer facts, validar tipos y confianza, aplicar reglas y resolver revisión humana. Cada decisión conserva modelo, prompt, schema y política usados. No elegir tipo es un requisito de la carga actual.</w:t>
      </w:r>
    </w:p>
    <w:p>
      <w:bookmarkStart w:id="3" w:name="s3"/>
      <w:pPr>
        <w:pStyle w:val="Heading1"/>
      </w:pPr>
      <w:r>
        <w:t>3. Tipos iniciales</w:t>
      </w:r>
      <w:bookmarkEnd w:id="3"/>
    </w:p>
    <w:p>
      <w:r>
        <w:t>El catálogo reportado contiene remito, factura, nota de crédito, nota de débito, constancia de inscripción, DNI, licencia, cédula, VTV y seguro. Un tipo desconocido no provoca descarte: se procesa genéricamente y la propuesta de tipo requiere aprobación administrativa.</w:t>
      </w:r>
    </w:p>
    <w:p>
      <w:bookmarkStart w:id="4" w:name="s4"/>
      <w:pPr>
        <w:pStyle w:val="Heading1"/>
      </w:pPr>
      <w:r>
        <w:t>4. Contrato de extracción</w:t>
      </w:r>
      <w:bookmarkEnd w:id="4"/>
    </w:p>
    <w:p>
      <w:r>
        <w:t>La salida distingue valor bruto y normalizado, presencia, confianza, página/origen y errores. Nulo, ausente e ilegible son resultados diferentes. No inventar un valor para cumplir un schema. Las tablas preservan filas, unidades, moneda y vínculo al fragmento fuente.</w:t>
      </w:r>
    </w:p>
    <w:p>
      <w:bookmarkStart w:id="5" w:name="s5"/>
      <w:pPr>
        <w:pStyle w:val="Heading1"/>
      </w:pPr>
      <w:r>
        <w:t>5. Fallback</w:t>
      </w:r>
      <w:bookmarkEnd w:id="5"/>
    </w:p>
    <w:p>
      <w:r>
        <w:t>El adapter devuelve resultado normalizado independientemente del proveedor. Un fallback se activa por política y presupuesto, registra causa y no convierte un error del proveedor en validación positiva. El fallback reportado no acredita un despliegue OCR local u open source.</w:t>
      </w:r>
    </w:p>
    <w:p>
      <w:bookmarkStart w:id="6" w:name="s6"/>
      <w:pPr>
        <w:pStyle w:val="Heading1"/>
      </w:pPr>
      <w:r>
        <w:t>6. Corrección y aprendizaje</w:t>
      </w:r>
      <w:bookmarkEnd w:id="6"/>
    </w:p>
    <w:p>
      <w:r>
        <w:t>El reviewer registra motivo obligatorio y nuevo valor; conserva el anterior. El feedback alimenta evaluación de nuevas versiones, no cambia políticas productivas automáticamente. Separar corpus de entrenamiento, ajuste y prueba para evitar métricas contaminadas.</w:t>
      </w:r>
    </w:p>
    <w:p>
      <w:bookmarkStart w:id="7" w:name="s7"/>
      <w:pPr>
        <w:pStyle w:val="Heading1"/>
      </w:pPr>
      <w:r>
        <w:t>7. Confianza</w:t>
      </w:r>
      <w:bookmarkEnd w:id="7"/>
    </w:p>
    <w:p>
      <w:r>
        <w:t>Definir umbrales por campo, tipo y riesgo con aprobación de Producto. Los valores usados en fixtures son ejemplos. Un campo crítico inválido bloquea aunque la confianza promedio sea alta; evidencia contradictoria requiere revisión explícita.</w:t>
      </w:r>
    </w:p>
    <w:p>
      <w:bookmarkStart w:id="8" w:name="s8"/>
      <w:pPr>
        <w:pStyle w:val="Heading1"/>
      </w:pPr>
      <w:r>
        <w:t>8. Gold corpus</w:t>
      </w:r>
      <w:bookmarkEnd w:id="8"/>
    </w:p>
    <w:p>
      <w:r>
        <w:t>Etiquetar tipo, campos, tablas, presencia y resultado de regla. Incluir fotos rotadas, baja luz, manuscritos, múltiples páginas, fechas límite, emisor desconocido y contradicciones. Cada documento tiene autorización, origen y partición registrados.</w:t>
      </w:r>
    </w:p>
    <w:p>
      <w:bookmarkStart w:id="9" w:name="s9"/>
      <w:pPr>
        <w:pStyle w:val="Heading1"/>
      </w:pPr>
      <w:r>
        <w:t>9. Evaluación</w:t>
      </w:r>
      <w:bookmarkEnd w:id="9"/>
    </w:p>
    <w:p>
      <w:r>
        <w:t>Publicar precisión y cobertura por tipo/campo, falsos positivos críticos, tasa de revisión, coste y latencia. Comparar versiones con la misma partición congelada. El lote de 10–15 documentos sirve para demo; la validación industrial exige muestra representativa definida por QA y negocio.</w:t>
      </w:r>
    </w:p>
    <w:p>
      <w:bookmarkStart w:id="10" w:name="s10"/>
      <w:pPr>
        <w:pStyle w:val="Heading1"/>
      </w:pPr>
      <w:r>
        <w:t>Mapa mental y relación entre capacidades</w:t>
      </w:r>
      <w:bookmarkEnd w:id="10"/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943600" cy="39319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_ment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1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Mapa de reglas del módulo DOC. El detalle verificable está en su N3.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943600" cy="38404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_re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Capacidades que consume DOC; contratos completos en N0-V11-INTERCONEXIONES.</w:t>
      </w:r>
    </w:p>
    <w:p>
      <w:bookmarkStart w:id="11" w:name="s11"/>
      <w:pPr>
        <w:pStyle w:val="Heading1"/>
      </w:pPr>
      <w:r>
        <w:t>Controles aplicables y pruebas de aceptación</w:t>
      </w:r>
      <w:bookmarkEnd w:id="11"/>
    </w:p>
    <w:p>
      <w:pPr>
        <w:pStyle w:val="Heading2"/>
      </w:pPr>
      <w:r>
        <w:t>DOC · IA Docs: ingesta, extracción y revisión</w:t>
      </w:r>
    </w:p>
    <w:p>
      <w:r>
        <w:t>CONSERVAR + CERTIFICAR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3000"/>
        <w:gridCol w:w="6360"/>
      </w:tblGrid>
      <w:tr>
        <w:trPr>
          <w:cantSplit/>
          <w:tblHeader/>
        </w:trPr>
        <w:tc>
          <w:tcPr>
            <w:tcW w:type="dxa" w:w="30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Regla</w:t>
            </w:r>
          </w:p>
        </w:tc>
        <w:tc>
          <w:tcPr>
            <w:tcW w:type="dxa" w:w="63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Control y evidencia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RE-DOC-01 · Ingesta segura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Aceptar sólo archivos dentro de la política de tamaño, con contenido real permitido y antivirus satisfactorio. Un original rechazado no inicia extracción. Los límites son configuración existente a registrar antes de la prueba. Verificar QA-DOC-01 a QA-DOC-04.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RE-DOC-02 · Idempotencia documental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La repetición de la misma solicitud dentro del mismo tenant retorna su resultado previo. Un archivo semejante o perteneciente a otro tenant no se deduplica como si fuera el mismo recurso autorizado. Verificar QA-DOC-05 a QA-DOC-08.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RE-DOC-03 · Clasificación y captura genérica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Clasificar sin selección previa entre los tipos activos. Un documento fuera del catálogo conserva texto y facts genéricos; ausencia de tipo no equivale a documento vacío. Verificar QA-DOC-09 a QA-DOC-12.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RE-DOC-04 · Extracción multiproveedor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Gemini es el proveedor reportado y DeepSeek el respaldo. Registrar proveedor usado y separar indisponibilidad de baja confianza. El fallback respeta política de datos y presupuesto. Verificar QA-DOC-13 a QA-DOC-16.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RE-DOC-05 · Umbrales y reglas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La política determina qué campos críticos necesitan revisión. Para QA usar umbral sintético 0,90; no declarar ese valor como umbral vigente del producto. Una regla sensible prevalece sobre la confianza. Verificar QA-DOC-17 a QA-DOC-20.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RE-DOC-06 · Corrección concurrente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Toda corrección requiere permiso, motivo y versión leída. Un segundo revisor no puede sobrescribir silenciosamente una corrección posterior. La evidencia original se conserva. Verificar QA-DOC-21 a QA-DOC-24.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RE-DOC-07 · Aprendizaje y tipos nuevos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La corrección alimenta evidencia de aprendizaje; no autoriza publicar automáticamente reglas, prompts o tipos. Registrar el candidato y aplicar aprobación/regresión al activar una nueva configuración. Verificar QA-DOC-25 a QA-DOC-28.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RE-DOC-08 · Certificación del recorrido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El cierre requiere evidencia del navegador y documentos reales autorizados. Las 247 pruebas reportadas son una línea de partida, no un resultado ejecutado en esta V11. Verificar QA-DOC-29 a QA-DOC-32.</w:t>
            </w:r>
          </w:p>
        </w:tc>
      </w:tr>
    </w:tbl>
    <w:p>
      <w:pPr>
        <w:pStyle w:val="Small"/>
      </w:pPr>
    </w:p>
    <w:p>
      <w:pPr>
        <w:pStyle w:val="Heading2"/>
      </w:pPr>
      <w:r>
        <w:t>SUP · Supervisor de procesos v0</w:t>
      </w:r>
    </w:p>
    <w:p>
      <w:r>
        <w:t>CONSTRUIR sobre facts y excepciones existentes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3000"/>
        <w:gridCol w:w="6360"/>
      </w:tblGrid>
      <w:tr>
        <w:trPr>
          <w:cantSplit/>
          <w:tblHeader/>
        </w:trPr>
        <w:tc>
          <w:tcPr>
            <w:tcW w:type="dxa" w:w="30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Regla</w:t>
            </w:r>
          </w:p>
        </w:tc>
        <w:tc>
          <w:tcPr>
            <w:tcW w:type="dxa" w:w="63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Control y evidencia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RE-SUP-01 · Políticas publicadas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Sólo evaluar políticas aprobadas y compatibles con la versión de proceso. Política inexistente no habilita acciones sensibles por defecto. Verificar QA-SUP-01 a QA-SUP-04.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RE-SUP-02 · Confianza por campo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Los campos críticos de baja confianza crean revisión, aunque la confianza promedio del documento sea alta. Umbrales de QA no sustituyen configuración cliente. Verificar QA-SUP-05 a QA-SUP-08.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RE-SUP-03 · Consistencia entre documentos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Comparar valores normalizados con unidades, moneda y tolerancia declaradas. Ausencia de dato genera faltante; no afirmar contradicción entre null y un valor. Verificar QA-SUP-09 a QA-SUP-12.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RE-SUP-04 · Severidad y acciones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Severidad warning no bloquea; blocking impide transición concreta. Una sugerencia IA no firma, envía ni cambia outcome sin política. Verificar QA-SUP-13 a QA-SUP-16.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RE-SUP-05 · SLA y escalación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Evaluar tiempo con calendario tenant y emitir una acción por vencimiento lógico. Repetir scheduler no multiplica hallazgos. Verificar QA-SUP-17 a QA-SUP-20.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RE-SUP-06 · Resolución y dispensa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Cerrar hallazgo exige corrección verificable o dispensa autorizada con motivo. Un ACK de lectura no resuelve un bloqueo. Verificar QA-SUP-21 a QA-SUP-24.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RE-SUP-07 · Reevaluación idempotente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Usar identidad estable de hallazgo por regla, sujeto y versión evaluada. Nuevas evidencias actualizan el caso; no producen ruido duplicado. Verificar QA-SUP-25 a QA-SUP-28.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RE-SUP-08 · Explicación y límites IA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Mostrar documentos, campos, valores comparados, regla y versión. Si falta evidencia, derivar; el supervisor v0 no se presenta como Sentinel avanzado. Verificar QA-SUP-29 a QA-SUP-32.</w:t>
            </w:r>
          </w:p>
        </w:tc>
      </w:tr>
    </w:tbl>
    <w:p>
      <w:pPr>
        <w:pStyle w:val="Small"/>
      </w:pPr>
    </w:p>
    <w:p>
      <w:pPr>
        <w:pStyle w:val="Heading2"/>
      </w:pPr>
      <w:r>
        <w:t>REL · Certificación, regresión y release</w:t>
      </w:r>
    </w:p>
    <w:p>
      <w:r>
        <w:t>CERTIFICAR; CONSTRUIR QA UI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3000"/>
        <w:gridCol w:w="6360"/>
      </w:tblGrid>
      <w:tr>
        <w:trPr>
          <w:cantSplit/>
          <w:tblHeader/>
        </w:trPr>
        <w:tc>
          <w:tcPr>
            <w:tcW w:type="dxa" w:w="30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Regla</w:t>
            </w:r>
          </w:p>
        </w:tc>
        <w:tc>
          <w:tcPr>
            <w:tcW w:type="dxa" w:w="63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Control y evidencia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RE-REL-01 · Infraestructura obligatoria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Ejecutar integración con NEXTDOCS_PRUEBA_OBLIGATORIA=true. PostgreSQL, Redis, MinIO y Keycloak deben estar disponibles; omitir pruebas no cuenta como éxito. Verificar QA-REL-01 a QA-REL-04.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RE-REL-02 · Regresión del core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Usar 73 unitarias y 174 de integración reportadas como inventario inicial, verificando el conteo real en repo. Agregar pruebas no autoriza perder cobertura existente. Verificar QA-REL-05 a QA-REL-08.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RE-REL-03 · Recorrido humano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Antes de demo ejecutar login, carga, tipo, visor, corrección, excepción y dashboard. Repetir específicamente captura genérica. Verificar QA-REL-09 a QA-REL-12.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RE-REL-04 · Corpus real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Procesar 10–15 documentos autorizados para primera prueba; no extrapolar a precisión industrial. Gold corpus de release tiene etiquetas revisadas y métricas por tipo/campo. Verificar QA-REL-13 a QA-REL-16.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RE-REL-05 · Secretos y acceso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Rotar la clave Gemini antes de datos cliente; registrar evidencia de revocación y funcionamiento sin guardar valor. Revisar también que los artefactos de UI no contengan secretos. Verificar QA-REL-17 a QA-REL-20.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RE-REL-06 · Carga y resiliencia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No se conoce la capacidad productiva. Registrar perfil acordado antes de medir; el gate exige cero pérdidas/duplicados y comparar latencia con objetivo aprobado. Verificar QA-REL-21 a QA-REL-24.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RE-REL-07 · Dos hitos distintos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G-DEMO certifica sólo IA Docs existente. 0H requiere Workflow, Studio, Supervisor, terceros y COMEX probados además del core. No exigir módulos nuevos para validar demo documental. Verificar QA-REL-25 a QA-REL-28.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RE-REL-08 · Despliegue y rollback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Fijar build, migraciones compatibles, backup, observabilidad y reversa. El rollback de app no implica borrar datos ni revertir migraciones destructivas sin plan. Verificar QA-REL-29 a QA-REL-32.</w:t>
            </w:r>
          </w:p>
        </w:tc>
      </w:tr>
    </w:tbl>
    <w:p>
      <w:pPr>
        <w:pStyle w:val="Small"/>
      </w:pPr>
    </w:p>
    <w:p>
      <w:bookmarkStart w:id="12" w:name="s12"/>
      <w:pPr>
        <w:pStyle w:val="Heading1"/>
      </w:pPr>
      <w:r>
        <w:t>Cierre y responsables</w:t>
      </w:r>
      <w:bookmarkEnd w:id="12"/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2200"/>
        <w:gridCol w:w="7160"/>
      </w:tblGrid>
      <w:tr>
        <w:trPr>
          <w:cantSplit/>
          <w:tblHeader/>
        </w:trPr>
        <w:tc>
          <w:tcPr>
            <w:tcW w:type="dxa" w:w="22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Rol</w:t>
            </w:r>
          </w:p>
        </w:tc>
        <w:tc>
          <w:tcPr>
            <w:tcW w:type="dxa" w:w="71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Responsabilidad</w:t>
            </w:r>
          </w:p>
        </w:tc>
      </w:tr>
      <w:tr>
        <w:trPr>
          <w:cantSplit/>
        </w:trPr>
        <w:tc>
          <w:tcPr>
            <w:tcW w:type="dxa" w:w="2200"/>
            <w:vAlign w:val="top"/>
          </w:tcPr>
          <w:p>
            <w:pPr>
              <w:pStyle w:val="TableText"/>
            </w:pPr>
            <w:r>
              <w:t>Producto</w:t>
            </w:r>
          </w:p>
        </w:tc>
        <w:tc>
          <w:tcPr>
            <w:tcW w:type="dxa" w:w="7160"/>
            <w:vAlign w:val="top"/>
          </w:tcPr>
          <w:p>
            <w:pPr>
              <w:pStyle w:val="TableText"/>
            </w:pPr>
            <w:r>
              <w:t>Ratificar alcance, reglas y configuraciones; aprobar valor y excepciones.</w:t>
            </w:r>
          </w:p>
        </w:tc>
      </w:tr>
      <w:tr>
        <w:trPr>
          <w:cantSplit/>
        </w:trPr>
        <w:tc>
          <w:tcPr>
            <w:tcW w:type="dxa" w:w="2200"/>
            <w:vAlign w:val="top"/>
          </w:tcPr>
          <w:p>
            <w:pPr>
              <w:pStyle w:val="TableText"/>
            </w:pPr>
            <w:r>
              <w:t>Desarrollo / CTO</w:t>
            </w:r>
          </w:p>
        </w:tc>
        <w:tc>
          <w:tcPr>
            <w:tcW w:type="dxa" w:w="7160"/>
            <w:vAlign w:val="top"/>
          </w:tcPr>
          <w:p>
            <w:pPr>
              <w:pStyle w:val="TableText"/>
            </w:pPr>
            <w:r>
              <w:t>Mapear contratos existentes, implementar brechas y revisar seguridad y operación.</w:t>
            </w:r>
          </w:p>
        </w:tc>
      </w:tr>
      <w:tr>
        <w:trPr>
          <w:cantSplit/>
        </w:trPr>
        <w:tc>
          <w:tcPr>
            <w:tcW w:type="dxa" w:w="2200"/>
            <w:vAlign w:val="top"/>
          </w:tcPr>
          <w:p>
            <w:pPr>
              <w:pStyle w:val="TableText"/>
            </w:pPr>
            <w:r>
              <w:t>QA / UX</w:t>
            </w:r>
          </w:p>
        </w:tc>
        <w:tc>
          <w:tcPr>
            <w:tcW w:type="dxa" w:w="7160"/>
            <w:vAlign w:val="top"/>
          </w:tcPr>
          <w:p>
            <w:pPr>
              <w:pStyle w:val="TableText"/>
            </w:pPr>
            <w:r>
              <w:t>Ejecutar casos específicos, verificar interfaz, accesibilidad y evidencia.</w:t>
            </w:r>
          </w:p>
        </w:tc>
      </w:tr>
      <w:tr>
        <w:trPr>
          <w:cantSplit/>
        </w:trPr>
        <w:tc>
          <w:tcPr>
            <w:tcW w:type="dxa" w:w="2200"/>
            <w:vAlign w:val="top"/>
          </w:tcPr>
          <w:p>
            <w:pPr>
              <w:pStyle w:val="TableText"/>
            </w:pPr>
            <w:r>
              <w:t>Operación</w:t>
            </w:r>
          </w:p>
        </w:tc>
        <w:tc>
          <w:tcPr>
            <w:tcW w:type="dxa" w:w="7160"/>
            <w:vAlign w:val="top"/>
          </w:tcPr>
          <w:p>
            <w:pPr>
              <w:pStyle w:val="TableText"/>
            </w:pPr>
            <w:r>
              <w:t>Medir, alertar, resolver fallos y demostrar recuperación.</w:t>
            </w:r>
          </w:p>
        </w:tc>
      </w:tr>
    </w:tbl>
    <w:p>
      <w:pPr>
        <w:pStyle w:val="Small"/>
      </w:pPr>
    </w:p>
    <w:p>
      <w:r>
        <w:t>Evidencia mínima: versión del recurso/política, build y entorno, fixture, actor, acción, resultado esperado y observado, evidencia persistida, defecto y decisión. No marcar Done mientras falte un control bloqueante.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"/>
      <w:jc w:val="right"/>
    </w:pPr>
    <w:r>
      <w:t xml:space="preserve">NEXT DOC AI · 07/09/2026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"/>
    </w:pPr>
    <w:r>
      <w:rPr>
        <w:b/>
        <w:color w:val="DA243C"/>
      </w:rPr>
      <w:t>NEXT DOC AI</w:t>
    </w:r>
    <w:r>
      <w:t xml:space="preserve">  /  V11  /  ANX-C-V11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72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72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72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72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72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9" w:lineRule="auto"/>
    </w:pPr>
    <w:rPr>
      <w:rFonts w:ascii="Calibri" w:hAnsi="Calibri"/>
      <w:color w:val="181C25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 w:line="26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6639B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167B8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81C2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59" w:lineRule="auto" w:before="0"/>
      <w:contextualSpacing/>
    </w:pPr>
    <w:rPr>
      <w:rFonts w:asciiTheme="majorHAnsi" w:eastAsiaTheme="majorEastAsia" w:hAnsiTheme="majorHAnsi" w:cstheme="majorBidi" w:ascii="Calibri" w:hAnsi="Calibri"/>
      <w:color w:val="181C2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00" w:line="269" w:lineRule="auto"/>
    </w:pPr>
    <w:rPr>
      <w:rFonts w:asciiTheme="majorHAnsi" w:eastAsiaTheme="majorEastAsia" w:hAnsiTheme="majorHAnsi" w:cstheme="majorBidi" w:ascii="Calibri" w:hAnsi="Calibri"/>
      <w:i/>
      <w:iCs/>
      <w:color w:val="5C657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80" w:line="269" w:lineRule="auto"/>
      <w:contextualSpacing/>
    </w:pPr>
    <w:rPr>
      <w:rFonts w:ascii="Calibri" w:hAnsi="Calibri"/>
      <w:color w:val="181C25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80" w:line="269" w:lineRule="auto"/>
      <w:contextualSpacing/>
    </w:pPr>
    <w:rPr>
      <w:rFonts w:ascii="Calibri" w:hAnsi="Calibri"/>
      <w:color w:val="181C25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52" w:lineRule="auto" w:before="60" w:after="140"/>
    </w:pPr>
    <w:rPr>
      <w:rFonts w:ascii="Calibri" w:hAnsi="Calibri"/>
      <w:b/>
      <w:bCs/>
      <w:color w:val="5C6576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Text">
    <w:name w:val="TableText"/>
    <w:pPr>
      <w:spacing w:after="60" w:line="252" w:lineRule="auto"/>
    </w:pPr>
    <w:rPr>
      <w:rFonts w:ascii="Calibri" w:hAnsi="Calibri"/>
      <w:color w:val="181C25"/>
      <w:sz w:val="18"/>
    </w:rPr>
  </w:style>
  <w:style w:type="paragraph" w:customStyle="1" w:styleId="Small">
    <w:name w:val="Small"/>
    <w:pPr>
      <w:spacing w:after="60" w:line="252" w:lineRule="auto"/>
    </w:pPr>
    <w:rPr>
      <w:rFonts w:ascii="Calibri" w:hAnsi="Calibri"/>
      <w:color w:val="5C6576"/>
      <w:sz w:val="18"/>
    </w:rPr>
  </w:style>
  <w:style w:type="paragraph" w:customStyle="1" w:styleId="Meta">
    <w:name w:val="Meta"/>
    <w:pPr>
      <w:spacing w:after="60" w:line="252" w:lineRule="auto"/>
    </w:pPr>
    <w:rPr>
      <w:rFonts w:ascii="Calibri" w:hAnsi="Calibri"/>
      <w:color w:val="181C25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ANX-C-V11</dc:title>
  <dc:subject>Especificación funcional V11</dc:subject>
  <dc:creator>NEXT DOC 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