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ANX-D-V11</w:t>
      </w:r>
    </w:p>
    <w:p>
      <w:pPr>
        <w:pStyle w:val="Title"/>
      </w:pPr>
      <w:r>
        <w:t>Workflow, Studio y experiencia de usuario</w:t>
      </w:r>
    </w:p>
    <w:p>
      <w:pPr>
        <w:pStyle w:val="Subtitle"/>
      </w:pPr>
      <w:r>
        <w:t>Referencia transversal · Contenido funcional, responsabilidades y criterios verificables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1. Uso y aplicabilidad</w:t>
        </w:r>
      </w:hyperlink>
    </w:p>
    <w:p>
      <w:pPr>
        <w:pStyle w:val="Small"/>
      </w:pPr>
      <w:hyperlink w:anchor="s2">
        <w:r>
          <w:rPr>
            <w:color w:val="6639B7"/>
          </w:rPr>
          <w:t>2. Schema compartido</w:t>
        </w:r>
      </w:hyperlink>
    </w:p>
    <w:p>
      <w:pPr>
        <w:pStyle w:val="Small"/>
      </w:pPr>
      <w:hyperlink w:anchor="s3">
        <w:r>
          <w:rPr>
            <w:color w:val="6639B7"/>
          </w:rPr>
          <w:t>3. Borrador y publicación</w:t>
        </w:r>
      </w:hyperlink>
    </w:p>
    <w:p>
      <w:pPr>
        <w:pStyle w:val="Small"/>
      </w:pPr>
      <w:hyperlink w:anchor="s4">
        <w:r>
          <w:rPr>
            <w:color w:val="6639B7"/>
          </w:rPr>
          <w:t>4. Workflow MVP0</w:t>
        </w:r>
      </w:hyperlink>
    </w:p>
    <w:p>
      <w:pPr>
        <w:pStyle w:val="Small"/>
      </w:pPr>
      <w:hyperlink w:anchor="s5">
        <w:r>
          <w:rPr>
            <w:color w:val="6639B7"/>
          </w:rPr>
          <w:t>5. Canvas MVP1</w:t>
        </w:r>
      </w:hyperlink>
    </w:p>
    <w:p>
      <w:pPr>
        <w:pStyle w:val="Small"/>
      </w:pPr>
      <w:hyperlink w:anchor="s6">
        <w:r>
          <w:rPr>
            <w:color w:val="6639B7"/>
          </w:rPr>
          <w:t>6. Terceros</w:t>
        </w:r>
      </w:hyperlink>
    </w:p>
    <w:p>
      <w:pPr>
        <w:pStyle w:val="Small"/>
      </w:pPr>
      <w:hyperlink w:anchor="s7">
        <w:r>
          <w:rPr>
            <w:color w:val="6639B7"/>
          </w:rPr>
          <w:t>7. Pantallas</w:t>
        </w:r>
      </w:hyperlink>
    </w:p>
    <w:p>
      <w:pPr>
        <w:pStyle w:val="Small"/>
      </w:pPr>
      <w:hyperlink w:anchor="s8">
        <w:r>
          <w:rPr>
            <w:color w:val="6639B7"/>
          </w:rPr>
          <w:t>8. Estados UX</w:t>
        </w:r>
      </w:hyperlink>
    </w:p>
    <w:p>
      <w:pPr>
        <w:pStyle w:val="Small"/>
      </w:pPr>
      <w:hyperlink w:anchor="s9">
        <w:r>
          <w:rPr>
            <w:color w:val="6639B7"/>
          </w:rPr>
          <w:t>9. Cierre</w:t>
        </w:r>
      </w:hyperlink>
    </w:p>
    <w:p>
      <w:pPr>
        <w:pStyle w:val="Small"/>
      </w:pPr>
      <w:hyperlink w:anchor="s10">
        <w:r>
          <w:rPr>
            <w:color w:val="6639B7"/>
          </w:rPr>
          <w:t>Mapa mental y relación entre capacidades</w:t>
        </w:r>
      </w:hyperlink>
    </w:p>
    <w:p>
      <w:pPr>
        <w:pStyle w:val="Small"/>
      </w:pPr>
      <w:hyperlink w:anchor="s11">
        <w:r>
          <w:rPr>
            <w:color w:val="6639B7"/>
          </w:rPr>
          <w:t>Controles aplicables y pruebas de aceptación</w:t>
        </w:r>
      </w:hyperlink>
    </w:p>
    <w:p>
      <w:pPr>
        <w:pStyle w:val="Small"/>
      </w:pPr>
      <w:hyperlink w:anchor="s12">
        <w:r>
          <w:rPr>
            <w:color w:val="6639B7"/>
          </w:rPr>
          <w:t>Cierre y responsables</w:t>
        </w:r>
      </w:hyperlink>
    </w:p>
    <w:p>
      <w:bookmarkStart w:id="1" w:name="s1"/>
      <w:pPr>
        <w:pStyle w:val="Heading1"/>
      </w:pPr>
      <w:r>
        <w:t>1. Uso y aplicabilidad</w:t>
      </w:r>
      <w:bookmarkEnd w:id="1"/>
    </w:p>
    <w:p>
      <w:r>
        <w:t>Leer junto con N3-MVP0-V11-WFL, N3-MVP0-V11-STU, N3-MVP1-V11-CAN. Los anexos no adelantan el roadmap ni acreditan pruebas. Las decisiones del N0 y los criterios N3 gobiernan el cierre.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2" w:name="s2"/>
      <w:pPr>
        <w:pStyle w:val="Heading1"/>
      </w:pPr>
      <w:r>
        <w:t>2. Schema compartido</w:t>
      </w:r>
      <w:bookmarkEnd w:id="2"/>
    </w:p>
    <w:p>
      <w:r>
        <w:t>Studio guiado y Canvas editan el mismo modelo de definición; el runtime ejecuta versiones publicadas de ese modelo. Evitar dos formatos incompatibles o lógica de proceso exclusivamente almacenada en la interfaz.</w:t>
      </w:r>
    </w:p>
    <w:p>
      <w:bookmarkStart w:id="3" w:name="s3"/>
      <w:pPr>
        <w:pStyle w:val="Heading1"/>
      </w:pPr>
      <w:r>
        <w:t>3. Borrador y publicación</w:t>
      </w:r>
      <w:bookmarkEnd w:id="3"/>
    </w:p>
    <w:p>
      <w:r>
        <w:t>El borrador es mutable bajo revisión de concurrencia. Publicar exige validación de nodos, referencias, responsables, documentos, condiciones y pruebas. Una publicación crea versión inmutable; instancias en marcha conservan su versión salvo migración explícita.</w:t>
      </w:r>
    </w:p>
    <w:p>
      <w:bookmarkStart w:id="4" w:name="s4"/>
      <w:pPr>
        <w:pStyle w:val="Heading1"/>
      </w:pPr>
      <w:r>
        <w:t>4. Workflow MVP0</w:t>
      </w:r>
      <w:bookmarkEnd w:id="4"/>
    </w:p>
    <w:p>
      <w:r>
        <w:t>Construir instancias, tareas, responsables, vencimientos, reglas de decisión y cierre con evidencia. El documento de estado no acredita este motor como implementado. Las funciones históricas del módulo Workflow son requisitos de referencia que deben mapearse al nuevo runtime.</w:t>
      </w:r>
    </w:p>
    <w:p>
      <w:bookmarkStart w:id="5" w:name="s5"/>
      <w:pPr>
        <w:pStyle w:val="Heading1"/>
      </w:pPr>
      <w:r>
        <w:t>5. Canvas MVP1</w:t>
      </w:r>
      <w:bookmarkEnd w:id="5"/>
    </w:p>
    <w:p>
      <w:r>
        <w:t>Permitir selección de nodos, edición de propiedades, conexiones válidas, undo/redo local y comparación de versiones. Mostrar errores en su ubicación. Los patrones avanzados de paralelismo y join requieren soporte y pruebas explícitas; no se habilitan sólo porque se puedan dibujar.</w:t>
      </w:r>
    </w:p>
    <w:p>
      <w:bookmarkStart w:id="6" w:name="s6"/>
      <w:pPr>
        <w:pStyle w:val="Heading1"/>
      </w:pPr>
      <w:r>
        <w:t>6. Terceros</w:t>
      </w:r>
      <w:bookmarkEnd w:id="6"/>
    </w:p>
    <w:p>
      <w:r>
        <w:t>Una tarea externa se ejecuta mediante identidad o enlace limitado: recurso, acción, vencimiento y revocación. No habilita navegación general del tenant. La respuesta se registra con actor efectivo y el mismo control de concurrencia del usuario interno.</w:t>
      </w:r>
    </w:p>
    <w:p>
      <w:bookmarkStart w:id="7" w:name="s7"/>
      <w:pPr>
        <w:pStyle w:val="Heading1"/>
      </w:pPr>
      <w:r>
        <w:t>7. Pantallas</w:t>
      </w:r>
      <w:bookmarkEnd w:id="7"/>
    </w:p>
    <w:p>
      <w:r>
        <w:t>Inbox prioriza estado, responsable, fecha y excepción; viewer mantiene documento y facts alineados; Studio muestra catálogo, borrador, validación, simulación y publicación; proceso presenta avance y obligaciones; dashboard permite llegar al expediente autorizado.</w:t>
      </w:r>
    </w:p>
    <w:p>
      <w:bookmarkStart w:id="8" w:name="s8"/>
      <w:pPr>
        <w:pStyle w:val="Heading1"/>
      </w:pPr>
      <w:r>
        <w:t>8. Estados UX</w:t>
      </w:r>
      <w:bookmarkEnd w:id="8"/>
    </w:p>
    <w:p>
      <w:r>
        <w:t>Todas las vistas distinguen carga, vacío, éxito, error recuperable, denegación y desactualización. No ocultar una acción obligatoria sin explicar la causa. Confirmar acciones irreversibles; conservar borrador ante error transitorio. Los estados no dependen sólo del color.</w:t>
      </w:r>
    </w:p>
    <w:p>
      <w:bookmarkStart w:id="9" w:name="s9"/>
      <w:pPr>
        <w:pStyle w:val="Heading1"/>
      </w:pPr>
      <w:r>
        <w:t>9. Cierre</w:t>
      </w:r>
      <w:bookmarkEnd w:id="9"/>
    </w:p>
    <w:p>
      <w:r>
        <w:t>Completar una tarea no cierra el expediente si existen obligaciones bloqueantes. La cancelación exige motivo y permiso. Reabrir conserva el cierre anterior y produce un evento nuevo. QA comprueba casos simultáneos y notificaciones repetidas.</w:t>
      </w:r>
    </w:p>
    <w:p>
      <w:bookmarkStart w:id="10" w:name="s10"/>
      <w:pPr>
        <w:pStyle w:val="Heading1"/>
      </w:pPr>
      <w:r>
        <w:t>Mapa mental y relación entre capacidades</w:t>
      </w:r>
      <w:bookmarkEnd w:id="10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L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de reglas del módulo WFL. El detalle verificable está en su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L_r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Capacidades que consume WFL; contratos completos en N0-V11-INTERCONEXIONES.</w:t>
      </w:r>
    </w:p>
    <w:p>
      <w:bookmarkStart w:id="11" w:name="s11"/>
      <w:pPr>
        <w:pStyle w:val="Heading1"/>
      </w:pPr>
      <w:r>
        <w:t>Controles aplicables y pruebas de aceptación</w:t>
      </w:r>
      <w:bookmarkEnd w:id="11"/>
    </w:p>
    <w:p>
      <w:pPr>
        <w:pStyle w:val="Heading2"/>
      </w:pPr>
      <w:r>
        <w:t>WFL · Workflow Core y tareas documentales</w:t>
      </w:r>
    </w:p>
    <w:p>
      <w:r>
        <w:t>CONSTRUIR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RE-WFL-01 · Inicio versionado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Una instancia sólo usa definición publicada y fija versión, tenant, datos iniciales y overlays. Publicar v2 no migra una instancia activa v1. Verificar QA-WFL-01 a QA-WFL-04.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RE-WFL-02 · Catálogo de nodos acotado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MVP0 admite inicio, requisito documental, regla determinista, decisión exclusiva, tarea humana, espera/SLA y fin. Firma y automatización general se resuelven en etapas posteriores. Verificar QA-WFL-05 a QA-WFL-08.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RE-WFL-03 · Activaciones idempotentes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nodo registra su activación lógica. Reinicio del worker o replay de evento no crea otra tarea ni ejecuta de nuevo un efecto confirmado. Verificar QA-WFL-09 a QA-WFL-12.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RE-WFL-04 · Dependencias y decisiones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Evaluar condiciones sobre facts y políticas de la versión fijada. La ausencia de un fact requerido bloquea la decisión; no se interpreta null como falso ni cero. Verificar QA-WFL-13 a QA-WFL-16.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RE-WFL-05 · Asignación y resultado de tarea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Una tarea sólo la completa un actor autorizado sobre su revisión vigente. Aprobación o rechazo deja resultado y evidencia; rechazo siempre requiere motivo. Verificar QA-WFL-17 a QA-WFL-20.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RE-WFL-06 · SLA y suspensión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Calcular vencimientos con calendario y zona del tenant; los timers son idempotentes. La pausa requiere motivo y política explícita sobre cómputo del plazo. Verificar QA-WFL-21 a QA-WFL-24.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RE-WFL-07 · Finales consistentes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Completar sólo cuando requisitos y tareas bloqueantes estén resueltos. Cancelar invalida trabajo pendiente; COMPLETADA no transiciona a RECHAZADA por enumeración de estados. Verificar QA-WFL-25 a QA-WFL-28.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RE-WFL-08 · Recuperación y evolución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reapertura o migración es una acción explícita y auditada, no una actualización directa de estado. El historial de una ejecución se reconstruye con sus versiones. Verificar QA-WFL-29 a QA-WFL-32.</w:t>
            </w:r>
          </w:p>
        </w:tc>
      </w:tr>
    </w:tbl>
    <w:p>
      <w:pPr>
        <w:pStyle w:val="Small"/>
      </w:pPr>
    </w:p>
    <w:p>
      <w:pPr>
        <w:pStyle w:val="Heading2"/>
      </w:pPr>
      <w:r>
        <w:t>STU · Template Registry y Studio guiado</w:t>
      </w:r>
    </w:p>
    <w:p>
      <w:r>
        <w:t>CONSTRUIR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RE-STU-01 · Autoría y pertenencia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Guardar owner, tenant autor, fuente y versión origen desde la creación. Un fork preserva provenance y no da acceso al tenant original. Verificar QA-STU-01 a QA-STU-04.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RE-STU-02 · Schema funcional estable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formato guiado representa la misma definición que ejecuta WFL. Requisitos, decisiones y roles deben poder reconstruirse sin instrucciones manuales fuera del schema. Verificar QA-STU-05 a QA-STU-08.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RE-STU-03 · Validación de grafo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Exigir inicio y fin alcanzable, sin referencias huérfanas ni ciclos no permitidos. Cada decisión debe definir una ruta de error o dato faltante. Verificar QA-STU-09 a QA-STU-12.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RE-STU-04 · Overlays compatibles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Aplicar overlays en orden declarado. Un conflicto entre obligaciones requiere resolución explícita; no gana silenciosamente el último overlay. Verificar QA-STU-13 a QA-STU-16.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RE-STU-05 · Pruebas antes de publicar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plantilla candidata debe ejecutar fixtures representativos y casos negativos. El resultado queda ligado al hash lógico de la definición; una edición invalida la prueba anterior. Verificar QA-STU-17 a QA-STU-20.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RE-STU-06 · Publicación y versionado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Publicar genera versión inmutable. Requiere rol, validación, tests y registro de cambio; no permite sobrescribir versión usada. Verificar QA-STU-21 a QA-STU-24.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RE-STU-07 · Retiro y compatibilidad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Retirar impide nuevas instalaciones/inicios según política; no destruye ejecuciones existentes. Describir qué cambia antes de adoptar una nueva versión. Verificar QA-STU-25 a QA-STU-28.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RE-STU-08 · UX guiada reproducible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operación se realiza en interfaz, sin editar base de datos. Presentar errores por nodo, vista previa de terceros y resumen de publicación. Verificar QA-STU-29 a QA-STU-32.</w:t>
            </w:r>
          </w:p>
        </w:tc>
      </w:tr>
    </w:tbl>
    <w:p>
      <w:pPr>
        <w:pStyle w:val="Small"/>
      </w:pPr>
    </w:p>
    <w:p>
      <w:pPr>
        <w:pStyle w:val="Heading2"/>
      </w:pPr>
      <w:r>
        <w:t>CAN · Canvas, Schema Studio y evolución de plantillas</w:t>
      </w:r>
    </w:p>
    <w:p>
      <w:r>
        <w:t>CONSTRUIR sobre STU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RE-CAN-01 · Equivalencia lista/Canvas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Abrir y guardar en Canvas debe conservar semántica de definiciones creadas en Studio guiado. Posiciones no son reglas. Verificar QA-CAN-01 a QA-CAN-04.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RE-CAN-02 · Conexiones válidas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editor impide enlaces huérfanos, ciclos no soportados y múltiples rutas exclusivas ambiguas; error señala nodos y recuperación. Verificar QA-CAN-05 a QA-CAN-08.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RE-CAN-03 · Schema documental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Campos poseen tipo, obligatoriedad y normalización. Un cambio incompatible crea versión y requiere revisar consumidores. Verificar QA-CAN-09 a QA-CAN-12.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RE-CAN-04 · Diff comprensible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Separar cambios en layout, reglas, roles, SLA y documentos; mostrar impacto antes de publicar. Verificar QA-CAN-13 a QA-CAN-16.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RE-CAN-05 · Migración explícita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No migrar instancias por publicar Canvas. El plan determina estado elegible, equivalencias y rollback antes de aplicar. Verificar QA-CAN-17 a QA-CAN-20.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RE-CAN-06 · Simulación aislada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Ejecutar fixtures sin enviar comunicaciones ni mutar expedientes productivos. Comparar resultado con definición publicada anterior. Verificar QA-CAN-21 a QA-CAN-24.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RE-CAN-07 · Edición colaborativa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Controlar revisiones del borrador; conservar cambios locales ante conflicto sin sobrescribir a otro editor. Verificar QA-CAN-25 a QA-CAN-28.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RE-CAN-08 · Accesibilidad y operación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Canvas tiene navegación por teclado y alternativa estructurada. No depender sólo del color ni de arrastrar con mouse. Verificar QA-CAN-29 a QA-CAN-32.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Cierre y responsables</w:t>
      </w:r>
      <w:bookmarkEnd w:id="12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Producto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Ratificar alcance, reglas y configuraciones; aprobar valor y excepciones.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Desarrollo / 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Mapear contratos existentes, implementar brechas y revisar seguridad y operación.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QA / UX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Ejecutar casos específicos, verificar interfaz, accesibilidad y evidencia.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Operación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Medir, alertar, resolver fallos y demostrar recuperación.</w:t>
            </w:r>
          </w:p>
        </w:tc>
      </w:tr>
    </w:tbl>
    <w:p>
      <w:pPr>
        <w:pStyle w:val="Small"/>
      </w:pPr>
    </w:p>
    <w:p>
      <w:r>
        <w:t>Evidencia mínima: versión del recurso/política, build y entorno, fixture, actor, acción, resultado esperado y observado, evidencia persistida, defecto y decisión. No marcar Done mientras falte un control bloqueante.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ANX-D-V11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ANX-D-V11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