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ANX-F-V11</w:t>
      </w:r>
    </w:p>
    <w:p>
      <w:pPr>
        <w:pStyle w:val="Title"/>
      </w:pPr>
      <w:r>
        <w:t>Partners y Marketplace</w:t>
      </w:r>
    </w:p>
    <w:p>
      <w:pPr>
        <w:pStyle w:val="Subtitle"/>
      </w:pPr>
      <w:r>
        <w:t>Referencia transversal · Contenido funcional, responsabilidades y criterios verificables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Uso y aplicabilidad</w:t>
        </w:r>
      </w:hyperlink>
    </w:p>
    <w:p>
      <w:pPr>
        <w:pStyle w:val="Small"/>
      </w:pPr>
      <w:hyperlink w:anchor="s2">
        <w:r>
          <w:rPr>
            <w:color w:val="6639B7"/>
          </w:rPr>
          <w:t>2. Foundation</w:t>
        </w:r>
      </w:hyperlink>
    </w:p>
    <w:p>
      <w:pPr>
        <w:pStyle w:val="Small"/>
      </w:pPr>
      <w:hyperlink w:anchor="s3">
        <w:r>
          <w:rPr>
            <w:color w:val="6639B7"/>
          </w:rPr>
          <w:t>3. Delegación</w:t>
        </w:r>
      </w:hyperlink>
    </w:p>
    <w:p>
      <w:pPr>
        <w:pStyle w:val="Small"/>
      </w:pPr>
      <w:hyperlink w:anchor="s4">
        <w:r>
          <w:rPr>
            <w:color w:val="6639B7"/>
          </w:rPr>
          <w:t>4. Propiedad</w:t>
        </w:r>
      </w:hyperlink>
    </w:p>
    <w:p>
      <w:pPr>
        <w:pStyle w:val="Small"/>
      </w:pPr>
      <w:hyperlink w:anchor="s5">
        <w:r>
          <w:rPr>
            <w:color w:val="6639B7"/>
          </w:rPr>
          <w:t>5. Certificación</w:t>
        </w:r>
      </w:hyperlink>
    </w:p>
    <w:p>
      <w:pPr>
        <w:pStyle w:val="Small"/>
      </w:pPr>
      <w:hyperlink w:anchor="s6">
        <w:r>
          <w:rPr>
            <w:color w:val="6639B7"/>
          </w:rPr>
          <w:t>6. Compra y derecho</w:t>
        </w:r>
      </w:hyperlink>
    </w:p>
    <w:p>
      <w:pPr>
        <w:pStyle w:val="Small"/>
      </w:pPr>
      <w:hyperlink w:anchor="s7">
        <w:r>
          <w:rPr>
            <w:color w:val="6639B7"/>
          </w:rPr>
          <w:t>7. Instalación</w:t>
        </w:r>
      </w:hyperlink>
    </w:p>
    <w:p>
      <w:pPr>
        <w:pStyle w:val="Small"/>
      </w:pPr>
      <w:hyperlink w:anchor="s8">
        <w:r>
          <w:rPr>
            <w:color w:val="6639B7"/>
          </w:rPr>
          <w:t>8. Actualización</w:t>
        </w:r>
      </w:hyperlink>
    </w:p>
    <w:p>
      <w:pPr>
        <w:pStyle w:val="Small"/>
      </w:pPr>
      <w:hyperlink w:anchor="s9">
        <w:r>
          <w:rPr>
            <w:color w:val="6639B7"/>
          </w:rPr>
          <w:t>9. Liquidación</w:t>
        </w:r>
      </w:hyperlink>
    </w:p>
    <w:p>
      <w:pPr>
        <w:pStyle w:val="Small"/>
      </w:pPr>
      <w:hyperlink w:anchor="s10">
        <w:r>
          <w:rPr>
            <w:color w:val="6639B7"/>
          </w:rPr>
          <w:t>Mapa mental y relación entre capacidades</w:t>
        </w:r>
      </w:hyperlink>
    </w:p>
    <w:p>
      <w:pPr>
        <w:pStyle w:val="Small"/>
      </w:pPr>
      <w:hyperlink w:anchor="s11">
        <w:r>
          <w:rPr>
            <w:color w:val="6639B7"/>
          </w:rPr>
          <w:t>Controles aplicables y pruebas de aceptación</w:t>
        </w:r>
      </w:hyperlink>
    </w:p>
    <w:p>
      <w:pPr>
        <w:pStyle w:val="Small"/>
      </w:pPr>
      <w:hyperlink w:anchor="s12">
        <w:r>
          <w:rPr>
            <w:color w:val="6639B7"/>
          </w:rPr>
          <w:t>Cierre y responsables</w:t>
        </w:r>
      </w:hyperlink>
    </w:p>
    <w:p>
      <w:bookmarkStart w:id="1" w:name="s1"/>
      <w:pPr>
        <w:pStyle w:val="Heading1"/>
      </w:pPr>
      <w:r>
        <w:t>1. Uso y aplicabilidad</w:t>
      </w:r>
      <w:bookmarkEnd w:id="1"/>
    </w:p>
    <w:p>
      <w:r>
        <w:t>Leer junto con N3-MVP1-V11-PAR, N3-MVP2-V11-MKT, N3-MVP2-V11-UPG, N3-MVP0-V11-IAM. Los anexos no adelantan el roadmap ni acreditan pruebas. Las decisiones del N0 y los criterios N3 gobiernan el cierre.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2" w:name="s2"/>
      <w:pPr>
        <w:pStyle w:val="Heading1"/>
      </w:pPr>
      <w:r>
        <w:t>2. Foundation</w:t>
      </w:r>
      <w:bookmarkEnd w:id="2"/>
    </w:p>
    <w:p>
      <w:r>
        <w:t>MVP0 define ownership, provenance y delegación para evitar rediseño posterior. Esto no implica portal partner completo ni transacción Marketplace. El portal y operación partner corresponden a MVP1; monetización y ciclo de instalación a MVP2.</w:t>
      </w:r>
    </w:p>
    <w:p>
      <w:bookmarkStart w:id="3" w:name="s3"/>
      <w:pPr>
        <w:pStyle w:val="Heading1"/>
      </w:pPr>
      <w:r>
        <w:t>3. Delegación</w:t>
      </w:r>
      <w:bookmarkEnd w:id="3"/>
    </w:p>
    <w:p>
      <w:r>
        <w:t>El cliente otorga capacidades y vencimiento; el partner actúa en el tenant seleccionado. Revocar impide nuevas acciones sin borrar la autoría histórica. Un partner con varios clientes no puede cruzar recursos ni métricas identificables.</w:t>
      </w:r>
    </w:p>
    <w:p>
      <w:bookmarkStart w:id="4" w:name="s4"/>
      <w:pPr>
        <w:pStyle w:val="Heading1"/>
      </w:pPr>
      <w:r>
        <w:t>4. Propiedad</w:t>
      </w:r>
      <w:bookmarkEnd w:id="4"/>
    </w:p>
    <w:p>
      <w:r>
        <w:t>Distinguir autor del pack, propietario de instancia, licenciatario y operador. Fork crea una nueva línea con referencia al origen. Los documentos del cliente no pasan a ser propiedad del publisher por usar una plantilla.</w:t>
      </w:r>
    </w:p>
    <w:p>
      <w:bookmarkStart w:id="5" w:name="s5"/>
      <w:pPr>
        <w:pStyle w:val="Heading1"/>
      </w:pPr>
      <w:r>
        <w:t>5. Certificación</w:t>
      </w:r>
      <w:bookmarkEnd w:id="5"/>
    </w:p>
    <w:p>
      <w:r>
        <w:t>Revisar manifest, dependencias, permisos, fixtures y documentación del pack. Una modificación relevante invalida la certificación previa de esa versión. La publicación muestra versión y términos; la certificación no garantiza adaptación legal a todos los países.</w:t>
      </w:r>
    </w:p>
    <w:p>
      <w:bookmarkStart w:id="6" w:name="s6"/>
      <w:pPr>
        <w:pStyle w:val="Heading1"/>
      </w:pPr>
      <w:r>
        <w:t>6. Compra y derecho</w:t>
      </w:r>
      <w:bookmarkEnd w:id="6"/>
    </w:p>
    <w:p>
      <w:r>
        <w:t>El pedido es idempotente y los términos quedan fijados. El entitlement nace de un pago o concesión verificados; un callback no validado no habilita descarga. Conciliar duplicados, rechazos, devolución y contracargo.</w:t>
      </w:r>
    </w:p>
    <w:p>
      <w:bookmarkStart w:id="7" w:name="s7"/>
      <w:pPr>
        <w:pStyle w:val="Heading1"/>
      </w:pPr>
      <w:r>
        <w:t>7. Instalación</w:t>
      </w:r>
      <w:bookmarkEnd w:id="7"/>
    </w:p>
    <w:p>
      <w:r>
        <w:t>Resolver dependencias y compatibilidad antes de modificar el tenant. Registrar manifest, versión, autor, licencia y cambios locales. Ante fallo, revertir cambios parciales o dejar estado reparable explícito. No duplicar instalación por retry.</w:t>
      </w:r>
    </w:p>
    <w:p>
      <w:bookmarkStart w:id="8" w:name="s8"/>
      <w:pPr>
        <w:pStyle w:val="Heading1"/>
      </w:pPr>
      <w:r>
        <w:t>8. Actualización</w:t>
      </w:r>
      <w:bookmarkEnd w:id="8"/>
    </w:p>
    <w:p>
      <w:r>
        <w:t>Mostrar diff e impacto sobre configuraciones locales. La adopción requiere decisión del cliente; las instancias activas preservan versión. La revocación comercial no borra expedientes ni evidencias de ejecuciones anteriores.</w:t>
      </w:r>
    </w:p>
    <w:p>
      <w:bookmarkStart w:id="9" w:name="s9"/>
      <w:pPr>
        <w:pStyle w:val="Heading1"/>
      </w:pPr>
      <w:r>
        <w:t>9. Liquidación</w:t>
      </w:r>
      <w:bookmarkEnd w:id="9"/>
    </w:p>
    <w:p>
      <w:r>
        <w:t>Registrar importe, moneda, impuestos según configuración aprobada, devolución y reparto. Los porcentajes de fixtures son ejemplos. La conciliación financiera requiere fuente verificable y no se declara lista con una tabla de precios estática.</w:t>
      </w:r>
    </w:p>
    <w:p>
      <w:bookmarkStart w:id="10" w:name="s10"/>
      <w:pPr>
        <w:pStyle w:val="Heading1"/>
      </w:pPr>
      <w:r>
        <w:t>Mapa mental y relación entre capacidades</w:t>
      </w:r>
      <w:bookmarkEnd w:id="10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de reglas del módulo PAR. El detalle verificable está en su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_r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Capacidades que consume PAR; contratos completos en N0-V11-INTERCONEXIONES.</w:t>
      </w:r>
    </w:p>
    <w:p>
      <w:bookmarkStart w:id="11" w:name="s11"/>
      <w:pPr>
        <w:pStyle w:val="Heading1"/>
      </w:pPr>
      <w:r>
        <w:t>Controles aplicables y pruebas de aceptación</w:t>
      </w:r>
      <w:bookmarkEnd w:id="11"/>
    </w:p>
    <w:p>
      <w:pPr>
        <w:pStyle w:val="Heading2"/>
      </w:pPr>
      <w:r>
        <w:t>PAR · Partner Workspace y gestión delegada</w:t>
      </w:r>
    </w:p>
    <w:p>
      <w:r>
        <w:t>CONSTRUIR sobre IAM/STU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RE-PAR-01 · Lista de clientes autorizada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lista se deriva de grants activos; no mostrar clientes históricos revocados como si siguieran accesibles. Verificar QA-PAR-01 a QA-PAR-04.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RE-PAR-02 · Contexto inequívoco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acción muestra y valida tenant cliente. Cambiar cliente invalida selecciones de recursos previos. Verificar QA-PAR-05 a QA-PAR-08.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RE-PAR-03 · Instalación y adaptación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Instalar base autorizada conserva fuente, versión y owner; cambios del cliente quedan como fork/overlay explícito. Verificar QA-PAR-09 a QA-PAR-12.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RE-PAR-04 · Aceptación de implantación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Cliente valida fixture y alcance antes de activar configuración. Partner no se autoaprueba cuando se exige segregación. Verificar QA-PAR-13 a QA-PAR-16.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RE-PAR-05 · Asignación de consultores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Delegar dentro de scopes concedidos; un administrador de partner no amplía el alcance del grant cliente. Verificar QA-PAR-17 a QA-PAR-20.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RE-PAR-06 · Métricas de productividad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Medir tiempos y calidad por implantación autorizada; no revelar costos o documentos de clientes a otros clientes. Verificar QA-PAR-21 a QA-PAR-24.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RE-PAR-07 · Retiro y continuidad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Revocar partner no detiene plantillas ya publicadas por el cliente. Transferir mantenimiento requiere owner autorizado. Verificar QA-PAR-25 a QA-PAR-28.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RE-PAR-08 · Publicación futura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Preparar metadata catalog-ready sin activar cobros de Marketplace en MVP1. Certificación comercial ocurre en MVP2. Verificar QA-PAR-29 a QA-PAR-32.</w:t>
            </w:r>
          </w:p>
        </w:tc>
      </w:tr>
    </w:tbl>
    <w:p>
      <w:pPr>
        <w:pStyle w:val="Small"/>
      </w:pPr>
    </w:p>
    <w:p>
      <w:pPr>
        <w:pStyle w:val="Heading2"/>
      </w:pPr>
      <w:r>
        <w:t>MKT · Catálogo, certificación y economía Marketplace</w:t>
      </w:r>
    </w:p>
    <w:p>
      <w:r>
        <w:t>CONSTRUIR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RE-MKT-01 · Publisher verificado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Publisher activo y propietario/licenciado del contenido puede solicitar certificación; declarar soporte y países aplicables. Verificar QA-MKT-01 a QA-MKT-04.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RE-MKT-02 · Certificación por versión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Certificar versión exacta con fixtures y dependencias. Edición posterior exige nueva revisión; insignia no cubre versiones diferentes. Verificar QA-MKT-05 a QA-MKT-08.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RE-MKT-03 · Visibilidad del catálogo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Catálogo público y privado aplican permisos y disponibilidad por tenant/país; buscador no filtra metadata de ofertas privadas. Verificar QA-MKT-09 a QA-MKT-12.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RE-MKT-04 · Términos fijados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Fijar precio, moneda, impuestos aplicables y versión de términos antes de confirmar. Cambio de precio requiere nueva aceptación. Verificar QA-MKT-13 a QA-MKT-16.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RE-MKT-05 · Pago y derecho separados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Sólo confirmación válida de pago o licencia gratuita aprobada genera entitlement. Timeout de pago no equivale a rechazo definitivo ni a éxito. Verificar QA-MKT-17 a QA-MKT-20.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RE-MKT-06 · Licencias vigentes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Licencia define tenant, versión/alcance y vigencia. Expirar licencia no borra documentos; afecta nuevos usos según términos aceptados. Verificar QA-MKT-21 a QA-MKT-24.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RE-MKT-07 · Reparto y compensación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Ledger inmutable con términos de reparto versionados. Reembolso genera movimiento compensatorio, no edición del ingreso original. Verificar QA-MKT-25 a QA-MKT-28.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RE-MKT-08 · Conciliación y disputa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Conciliar orden, pago, derecho y ledger; una diferencia queda en cola con owner. No instalar por simple recibo no validado. Verificar QA-MKT-29 a QA-MKT-32.</w:t>
            </w:r>
          </w:p>
        </w:tc>
      </w:tr>
    </w:tbl>
    <w:p>
      <w:pPr>
        <w:pStyle w:val="Small"/>
      </w:pPr>
    </w:p>
    <w:p>
      <w:pPr>
        <w:pStyle w:val="Heading2"/>
      </w:pPr>
      <w:r>
        <w:t>UPG · Instalación, actualizaciones y compatibilidad</w:t>
      </w:r>
    </w:p>
    <w:p>
      <w:r>
        <w:t>CONSTRUIR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RE-UPG-01 · Preflight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Verificar derecho, certificación y dependencias antes de instalar; falla no deja instalación parcialmente activa. Verificar QA-UPG-01 a QA-UPG-04.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RE-UPG-02 · Instalación idempotente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Clave de intención, tenant y versión identifican instalación. Reintento no duplica plantillas. Verificar QA-UPG-05 a QA-UPG-08.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RE-UPG-03 · Personalización y provenance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Guardar fork/overlays locales separados de fuente; update no sobrescribe edición cliente. Verificar QA-UPG-09 a QA-UPG-12.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RE-UPG-04 · Instancias fijadas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Nuevas instancias usan versión adoptada; activas permanecen en su versión salvo plan explícito. Verificar QA-UPG-13 a QA-UPG-16.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RE-UPG-05 · Simulación previa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Plan de upgrade compara corpus y estados, con adaptadores sin efectos productivos. Verificar QA-UPG-17 a QA-UPG-20.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RE-UPG-06 · Rollback seguro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Volver versión para nuevos inicios sólo si compatible; instancias nacidas en nueva versión conservan su definición. Verificar QA-UPG-21 a QA-UPG-24.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RE-UPG-07 · Desinstalación y retiro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Desinstalar impide nuevos usos sin borrar ejecuciones ni originales; dependencia activa puede bloquear retiro. Verificar QA-UPG-25 a QA-UPG-28.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RE-UPG-08 · Métricas y permisos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Medir éxito, fallos y duración de instalaciones con referencias; sólo tenant o delegado puede adoptar. Verificar QA-UPG-29 a QA-UPG-32.</w:t>
            </w:r>
          </w:p>
        </w:tc>
      </w:tr>
    </w:tbl>
    <w:p>
      <w:pPr>
        <w:pStyle w:val="Small"/>
      </w:pPr>
    </w:p>
    <w:p>
      <w:pPr>
        <w:pStyle w:val="Heading2"/>
      </w:pPr>
      <w:r>
        <w:t>IAM · Identidad, tenancy y colaboración externa</w:t>
      </w:r>
    </w:p>
    <w:p>
      <w:r>
        <w:t>CONSERVAR IAM/SSO; CONSTRUIR delegación y tareas externas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RE-IAM-01 · Aislamiento efectivo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Derivar tenant autorizado de sesión y membresía. Aplicar control a lectura, escritura, búsqueda y descarga; rechazar cruces aunque el recurso exista. Verificar QA-IAM-01 a QA-IAM-04.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RE-IAM-02 · SSO y contexto host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Conservar SSO reportado con Follow, CIMA y Valid360. Validar emisor, audiencia, vigencia y usuario local habilitado; el host no concede permisos internos. Verificar QA-IAM-05 a QA-IAM-08.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RE-IAM-03 · Delegación explícita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tenant cliente concede scopes y expiración a un partner. Sólo esos scopes habilitan configuración; propiedad comercial no otorga acceso permanente a datos. Verificar QA-IAM-09 a QA-IAM-12.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RE-IAM-04 · Acción externa de propósito único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Vincular token a una tarea y acción autorizada. TTL se evalúa en servidor; fixture de QA usa 15 minutos. Token no permite abrir listado de expedientes. Verificar QA-IAM-13 a QA-IAM-16.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RE-IAM-05 · Revocación y consumo atómico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Consultar revocación antes del efecto. El token de un uso se consume en la misma unidad de consistencia que la acción; reintento no repite efectos. Verificar QA-IAM-17 a QA-IAM-20.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RE-IAM-06 · Mínimo privilegio visible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Separar el contenido de la tarea de notas internas, otras tareas, métricas de costos y reglas administrativas. El control se aplica a API además de UI. Verificar QA-IAM-21 a QA-IAM-24.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RE-IAM-07 · Invitación y reemisión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reemisión invalida el token anterior cuando la política sea single-active. Destinatario debe estar asociado a la tarea; cambios quedan auditados. Verificar QA-IAM-25 a QA-IAM-28.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RE-IAM-08 · Sesión y seguridad de navegador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No introducir claves permanentes de servicio en navegador. Expiración, logout y autorización de deep links deben preservar la frontera entre host y NEXT. Verificar QA-IAM-29 a QA-IAM-32.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Cierre y responsables</w:t>
      </w:r>
      <w:bookmarkEnd w:id="12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Producto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Ratificar alcance, reglas y configuraciones; aprobar valor y excepciones.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Desarrollo / 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Mapear contratos existentes, implementar brechas y revisar seguridad y operación.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QA / UX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Ejecutar casos específicos, verificar interfaz, accesibilidad y evidencia.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Operación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Medir, alertar, resolver fallos y demostrar recuperación.</w:t>
            </w:r>
          </w:p>
        </w:tc>
      </w:tr>
    </w:tbl>
    <w:p>
      <w:pPr>
        <w:pStyle w:val="Small"/>
      </w:pPr>
    </w:p>
    <w:p>
      <w:r>
        <w:t>Evidencia mínima: versión del recurso/política, build y entorno, fixture, actor, acción, resultado esperado y observado, evidencia persistida, defecto y decisión. No marcar Done mientras falte un control bloqueante.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ANX-F-V11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ANX-F-V11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