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ANX-G-V11</w:t>
      </w:r>
    </w:p>
    <w:p>
      <w:pPr>
        <w:pStyle w:val="Title"/>
      </w:pPr>
      <w:r>
        <w:t>Identidad, compliance, firma y biometría</w:t>
      </w:r>
    </w:p>
    <w:p>
      <w:pPr>
        <w:pStyle w:val="Subtitle"/>
      </w:pPr>
      <w:r>
        <w:t>Referencia transversal · Contenido funcional, responsabilidades y criterios verificables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1. Uso y aplicabilidad</w:t>
        </w:r>
      </w:hyperlink>
    </w:p>
    <w:p>
      <w:pPr>
        <w:pStyle w:val="Small"/>
      </w:pPr>
      <w:hyperlink w:anchor="s2">
        <w:r>
          <w:rPr>
            <w:color w:val="6639B7"/>
          </w:rPr>
          <w:t>2. Matriz de controles</w:t>
        </w:r>
      </w:hyperlink>
    </w:p>
    <w:p>
      <w:pPr>
        <w:pStyle w:val="Small"/>
      </w:pPr>
      <w:hyperlink w:anchor="s3">
        <w:r>
          <w:rPr>
            <w:color w:val="6639B7"/>
          </w:rPr>
          <w:t>3. Identidad</w:t>
        </w:r>
      </w:hyperlink>
    </w:p>
    <w:p>
      <w:pPr>
        <w:pStyle w:val="Small"/>
      </w:pPr>
      <w:hyperlink w:anchor="s4">
        <w:r>
          <w:rPr>
            <w:color w:val="6639B7"/>
          </w:rPr>
          <w:t>4. Firma</w:t>
        </w:r>
      </w:hyperlink>
    </w:p>
    <w:p>
      <w:pPr>
        <w:pStyle w:val="Small"/>
      </w:pPr>
      <w:hyperlink w:anchor="s5">
        <w:r>
          <w:rPr>
            <w:color w:val="6639B7"/>
          </w:rPr>
          <w:t>5. Biometría</w:t>
        </w:r>
      </w:hyperlink>
    </w:p>
    <w:p>
      <w:pPr>
        <w:pStyle w:val="Small"/>
      </w:pPr>
      <w:hyperlink w:anchor="s6">
        <w:r>
          <w:rPr>
            <w:color w:val="6639B7"/>
          </w:rPr>
          <w:t>6. Minimización</w:t>
        </w:r>
      </w:hyperlink>
    </w:p>
    <w:p>
      <w:pPr>
        <w:pStyle w:val="Small"/>
      </w:pPr>
      <w:hyperlink w:anchor="s7">
        <w:r>
          <w:rPr>
            <w:color w:val="6639B7"/>
          </w:rPr>
          <w:t>7. Legal hold</w:t>
        </w:r>
      </w:hyperlink>
    </w:p>
    <w:p>
      <w:pPr>
        <w:pStyle w:val="Small"/>
      </w:pPr>
      <w:hyperlink w:anchor="s8">
        <w:r>
          <w:rPr>
            <w:color w:val="6639B7"/>
          </w:rPr>
          <w:t>8. Tercero y evidencia</w:t>
        </w:r>
      </w:hyperlink>
    </w:p>
    <w:p>
      <w:pPr>
        <w:pStyle w:val="Small"/>
      </w:pPr>
      <w:hyperlink w:anchor="s9">
        <w:r>
          <w:rPr>
            <w:color w:val="6639B7"/>
          </w:rPr>
          <w:t>9. Aceptación</w:t>
        </w:r>
      </w:hyperlink>
    </w:p>
    <w:p>
      <w:pPr>
        <w:pStyle w:val="Small"/>
      </w:pPr>
      <w:hyperlink w:anchor="s10">
        <w:r>
          <w:rPr>
            <w:color w:val="6639B7"/>
          </w:rPr>
          <w:t>Mapa mental y relación entre capacidades</w:t>
        </w:r>
      </w:hyperlink>
    </w:p>
    <w:p>
      <w:pPr>
        <w:pStyle w:val="Small"/>
      </w:pPr>
      <w:hyperlink w:anchor="s11">
        <w:r>
          <w:rPr>
            <w:color w:val="6639B7"/>
          </w:rPr>
          <w:t>Controles aplicables y pruebas de aceptación</w:t>
        </w:r>
      </w:hyperlink>
    </w:p>
    <w:p>
      <w:pPr>
        <w:pStyle w:val="Small"/>
      </w:pPr>
      <w:hyperlink w:anchor="s12">
        <w:r>
          <w:rPr>
            <w:color w:val="6639B7"/>
          </w:rPr>
          <w:t>Cierre y responsables</w:t>
        </w:r>
      </w:hyperlink>
    </w:p>
    <w:p>
      <w:bookmarkStart w:id="1" w:name="s1"/>
      <w:pPr>
        <w:pStyle w:val="Heading1"/>
      </w:pPr>
      <w:r>
        <w:t>1. Uso y aplicabilidad</w:t>
      </w:r>
      <w:bookmarkEnd w:id="1"/>
    </w:p>
    <w:p>
      <w:r>
        <w:t>Leer junto con N3-MVP0-V11-IAM, N3-MVP1-V11-CHN, N3-MVP4-V11-ENT, N3-MVP0-V11-GOV. Los anexos no adelantan el roadmap ni acreditan pruebas. Las decisiones del N0 y los criterios N3 gobiernan el cierre.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2" w:name="s2"/>
      <w:pPr>
        <w:pStyle w:val="Heading1"/>
      </w:pPr>
      <w:r>
        <w:t>2. Matriz de controles</w:t>
      </w:r>
      <w:bookmarkEnd w:id="2"/>
    </w:p>
    <w:p>
      <w:r>
        <w:t>Definir por jurisdicción, tipo documental, finalidad, riesgo y responsable qué controles aplican. Cada control exige política aprobada, evidencia, retención y prueba. La documentación funcional no acredita cumplimiento legal ni sustituye revisión especializada.</w:t>
      </w:r>
    </w:p>
    <w:p>
      <w:bookmarkStart w:id="3" w:name="s3"/>
      <w:pPr>
        <w:pStyle w:val="Heading1"/>
      </w:pPr>
      <w:r>
        <w:t>3. Identidad</w:t>
      </w:r>
      <w:bookmarkEnd w:id="3"/>
    </w:p>
    <w:p>
      <w:r>
        <w:t>Autenticar y autorizar son decisiones distintas. La assertion del host debe validarse y mapearse a tenant y sujeto; NEXT evalúa permiso local. No aceptar tenant enviado libremente en el body como fuente de autoridad.</w:t>
      </w:r>
    </w:p>
    <w:p>
      <w:bookmarkStart w:id="4" w:name="s4"/>
      <w:pPr>
        <w:pStyle w:val="Heading1"/>
      </w:pPr>
      <w:r>
        <w:t>4. Firma</w:t>
      </w:r>
      <w:bookmarkEnd w:id="4"/>
    </w:p>
    <w:p>
      <w:r>
        <w:t>La firma es MVP1 y no está implementada según el estado del core. Distinguir solicitud, aceptación del proveedor, identidad del firmante, documento firmado y verificación. Un estado visual de firmado requiere evidencia comprobable, no sólo recepción de webhook.</w:t>
      </w:r>
    </w:p>
    <w:p>
      <w:bookmarkStart w:id="5" w:name="s5"/>
      <w:pPr>
        <w:pStyle w:val="Heading1"/>
      </w:pPr>
      <w:r>
        <w:t>5. Biometría</w:t>
      </w:r>
      <w:bookmarkEnd w:id="5"/>
    </w:p>
    <w:p>
      <w:r>
        <w:t>La reutilización de capacidades AASOFT es una opción a evaluar por contrato, finalidad, consentimiento/base aplicable, coste y calidad. No se presume que un componente externo esté disponible ni que alcance validez universal. Si se requiere, abrir decisión técnica y legal antes de Ready.</w:t>
      </w:r>
    </w:p>
    <w:p>
      <w:bookmarkStart w:id="6" w:name="s6"/>
      <w:pPr>
        <w:pStyle w:val="Heading1"/>
      </w:pPr>
      <w:r>
        <w:t>6. Minimización</w:t>
      </w:r>
      <w:bookmarkEnd w:id="6"/>
    </w:p>
    <w:p>
      <w:r>
        <w:t>Solicitar sólo datos necesarios para el control. Restringir visualización y exportación de datos sensibles; registrar acceso sin copiar secretos o biometría en logs. Retención y eliminación se configuran por finalidad y restricciones vigentes.</w:t>
      </w:r>
    </w:p>
    <w:p>
      <w:bookmarkStart w:id="7" w:name="s7"/>
      <w:pPr>
        <w:pStyle w:val="Heading1"/>
      </w:pPr>
      <w:r>
        <w:t>7. Legal hold</w:t>
      </w:r>
      <w:bookmarkEnd w:id="7"/>
    </w:p>
    <w:p>
      <w:r>
        <w:t>Un hold autorizado bloquea eliminación aplicable incluso si vence retención o cuota. Registrar motivo, alcance, emisor y liberación. Liberarlo no borra inmediatamente: reevaluar política y ejecutar el circuito de eliminación autorizado.</w:t>
      </w:r>
    </w:p>
    <w:p>
      <w:bookmarkStart w:id="8" w:name="s8"/>
      <w:pPr>
        <w:pStyle w:val="Heading1"/>
      </w:pPr>
      <w:r>
        <w:t>8. Tercero y evidencia</w:t>
      </w:r>
      <w:bookmarkEnd w:id="8"/>
    </w:p>
    <w:p>
      <w:r>
        <w:t>Enlaces externos tienen scope y vencimiento; no sustituyen automáticamente una firma con requisitos específicos. Conservar quién hizo qué, sobre qué versión, cuándo y mediante qué mecanismo, con integridad verificable.</w:t>
      </w:r>
    </w:p>
    <w:p>
      <w:bookmarkStart w:id="9" w:name="s9"/>
      <w:pPr>
        <w:pStyle w:val="Heading1"/>
      </w:pPr>
      <w:r>
        <w:t>9. Aceptación</w:t>
      </w:r>
      <w:bookmarkEnd w:id="9"/>
    </w:p>
    <w:p>
      <w:r>
        <w:t>Security y responsable legal validan políticas; QA prueba negativas, revocación, vencimiento, replay y acceso cruzado; Operación demuestra conservación y recuperación. Toda excepción tiene responsable y fecha de revisión.</w:t>
      </w:r>
    </w:p>
    <w:p>
      <w:bookmarkStart w:id="10" w:name="s10"/>
      <w:pPr>
        <w:pStyle w:val="Heading1"/>
      </w:pPr>
      <w:r>
        <w:t>Mapa mental y relación entre capacidades</w:t>
      </w:r>
      <w:bookmarkEnd w:id="10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M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de reglas del módulo IAM. El detalle verificable está en su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M_r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Capacidades que consume IAM; contratos completos en N0-V11-INTERCONEXIONES.</w:t>
      </w:r>
    </w:p>
    <w:p>
      <w:bookmarkStart w:id="11" w:name="s11"/>
      <w:pPr>
        <w:pStyle w:val="Heading1"/>
      </w:pPr>
      <w:r>
        <w:t>Controles aplicables y pruebas de aceptación</w:t>
      </w:r>
      <w:bookmarkEnd w:id="11"/>
    </w:p>
    <w:p>
      <w:pPr>
        <w:pStyle w:val="Heading2"/>
      </w:pPr>
      <w:r>
        <w:t>IAM · Identidad, tenancy y colaboración externa</w:t>
      </w:r>
    </w:p>
    <w:p>
      <w:r>
        <w:t>CONSERVAR IAM/SSO; CONSTRUIR delegación y tareas externas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RE-IAM-01 · Aislamiento efectivo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Derivar tenant autorizado de sesión y membresía. Aplicar control a lectura, escritura, búsqueda y descarga; rechazar cruces aunque el recurso exista. Verificar QA-IAM-01 a QA-IAM-04.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RE-IAM-02 · SSO y contexto host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Conservar SSO reportado con Follow, CIMA y Valid360. Validar emisor, audiencia, vigencia y usuario local habilitado; el host no concede permisos internos. Verificar QA-IAM-05 a QA-IAM-08.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RE-IAM-03 · Delegación explícita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El tenant cliente concede scopes y expiración a un partner. Sólo esos scopes habilitan configuración; propiedad comercial no otorga acceso permanente a datos. Verificar QA-IAM-09 a QA-IAM-12.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RE-IAM-04 · Acción externa de propósito único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Vincular token a una tarea y acción autorizada. TTL se evalúa en servidor; fixture de QA usa 15 minutos. Token no permite abrir listado de expedientes. Verificar QA-IAM-13 a QA-IAM-16.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RE-IAM-05 · Revocación y consumo atómico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Consultar revocación antes del efecto. El token de un uso se consume en la misma unidad de consistencia que la acción; reintento no repite efectos. Verificar QA-IAM-17 a QA-IAM-20.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RE-IAM-06 · Mínimo privilegio visible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Separar el contenido de la tarea de notas internas, otras tareas, métricas de costos y reglas administrativas. El control se aplica a API además de UI. Verificar QA-IAM-21 a QA-IAM-24.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RE-IAM-07 · Invitación y reemisión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reemisión invalida el token anterior cuando la política sea single-active. Destinatario debe estar asociado a la tarea; cambios quedan auditados. Verificar QA-IAM-25 a QA-IAM-28.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RE-IAM-08 · Sesión y seguridad de navegador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No introducir claves permanentes de servicio en navegador. Expiración, logout y autorización de deep links deben preservar la frontera entre host y NEXT. Verificar QA-IAM-29 a QA-IAM-32.</w:t>
            </w:r>
          </w:p>
        </w:tc>
      </w:tr>
    </w:tbl>
    <w:p>
      <w:pPr>
        <w:pStyle w:val="Small"/>
      </w:pPr>
    </w:p>
    <w:p>
      <w:pPr>
        <w:pStyle w:val="Heading2"/>
      </w:pPr>
      <w:r>
        <w:t>CHN · Canales, firma y experiencia móvil</w:t>
      </w:r>
    </w:p>
    <w:p>
      <w:r>
        <w:t>CONSTRUIR o REINCORPORAR bajo gate de producto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RE-CHN-01 · Activación explícita de canal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Reincorporar código histórico sólo tras revisar contrato y seguridad. Flag por tenant; ningún canal futuro se anuncia como disponible en core. Verificar QA-CHN-01 a QA-CHN-04.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RE-CHN-02 · Routing de mensajes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Resolver tenant, proceso y sujeto antes de efecto. Mensaje ambiguo pide contexto; no crea múltiples instancias por inferencia. Verificar QA-CHN-05 a QA-CHN-08.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RE-CHN-03 · Adjuntos y duplicados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Aplicar controles DOC en todos los canales. Duplicidad por mensaje no elimina archivos diferentes dentro de un hilo. Verificar QA-CHN-09 a QA-CHN-12.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RE-CHN-04 · Firma de documento exacto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Vincular solicitud al hash y versión del documento. Un cambio de bytes requiere una nueva solicitud; no trasladar firma. Verificar QA-CHN-13 a QA-CHN-16.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RE-CHN-05 · Callbacks de proveedor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Validar autenticidad, correlación y estado; sólo evidencia positiva válida marca firmada. Callback duplicado no repite cierre de tarea. Verificar QA-CHN-17 a QA-CHN-20.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RE-CHN-06 · Método y evidencia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Elegir método según política aprobada por caso y jurisdicción. WhatsApp entrega enlace; no equivale por sí mismo a acto de firma calificado. Verificar QA-CHN-21 a QA-CHN-24.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RE-CHN-07 · Móvil y continuidad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Mantener misma instancia entre portal y canal con identidad verificada. Acciones sensibles requieren conexión y revisión actual del servidor. Verificar QA-CHN-25 a QA-CHN-28.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RE-CHN-08 · Operación de entregas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Separar recibido, asociado, procesado y entregado. Reintentos transitorios no reejecutan negocio; errores permanentes requieren corrección. Verificar QA-CHN-29 a QA-CHN-32.</w:t>
            </w:r>
          </w:p>
        </w:tc>
      </w:tr>
    </w:tbl>
    <w:p>
      <w:pPr>
        <w:pStyle w:val="Small"/>
      </w:pPr>
    </w:p>
    <w:p>
      <w:pPr>
        <w:pStyle w:val="Heading2"/>
      </w:pPr>
      <w:r>
        <w:t>ENT · Gobierno e integración enterprise</w:t>
      </w:r>
    </w:p>
    <w:p>
      <w:r>
        <w:t>CONSTRUIR bajo demanda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RE-ENT-01 · Perfil contractual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Definir requisitos antes de diseñar despliegue; sin contrato de objetivos no prometer SLA ni residencia específica. Verificar QA-ENT-01 a QA-ENT-04.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RE-ENT-02 · Residencia integral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Residencia incluye originales, derivados, índices, logs sensibles y backups; política se aplica también a proveedores IA. Verificar QA-ENT-05 a QA-ENT-08.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RE-ENT-03 · SSO enterprise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Mapear grupos a roles gobernados sin confiar en grupos arbitrarios; mantener revocación y administrador de emergencia controlado. Verificar QA-ENT-09 a QA-ENT-12.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RE-ENT-04 · Acceso de emergencia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Acceso excepcional tiene motivo, TTL y revisión posterior; no cuenta compartida sin trazabilidad. Verificar QA-ENT-13 a QA-ENT-16.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RE-ENT-05 · Conectividad privada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Validar origen y autorización funcional; red privada no sustituye tenant/rol. Failover mantiene restricciones. Verificar QA-ENT-17 a QA-ENT-20.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RE-ENT-06 · Gobierno de datos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Aplicar retención, export y hold al perfil sin debilitar obligaciones superiores; resolver conflictos explícitamente. Verificar QA-ENT-21 a QA-ENT-24.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RE-ENT-07 · FinOps enterprise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Imputar costos y cuotas por servicio/tenant sin mezclar presupuestos; dashboards explican períodos y fuentes. Verificar QA-ENT-25 a QA-ENT-28.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RE-ENT-08 · Aceptación verificable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El perfil se acepta contra controles ejecutados, no sólo documento de arquitectura. Registrar límites y decisiones contractuales pendientes. Verificar QA-ENT-29 a QA-ENT-32.</w:t>
            </w:r>
          </w:p>
        </w:tc>
      </w:tr>
    </w:tbl>
    <w:p>
      <w:pPr>
        <w:pStyle w:val="Small"/>
      </w:pPr>
    </w:p>
    <w:p>
      <w:pPr>
        <w:pStyle w:val="Heading2"/>
      </w:pPr>
      <w:r>
        <w:t>GOV · DMS, auditoría, KPI y control de costo</w:t>
      </w:r>
    </w:p>
    <w:p>
      <w:r>
        <w:t>CONSERVAR + AJUSTAR integración de procesos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RE-GOV-01 · Original y versionado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Conservar original inmutable y cadena supersedes. Una corrección de facts no reemplaza los bytes originales ni altera el hash de origen. Verificar QA-GOV-01 a QA-GOV-04.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RE-GOV-02 · Retención y legal hold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Legal hold suspende purga normal. Comprobar hold de nuevo inmediatamente antes del borrado; el vencimiento de export temporal no borra originales. Verificar QA-GOV-05 a QA-GOV-08.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RE-GOV-03 · Exportación reproducible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Export incluye índice, manifiesto por archivo y hashes calculados sobre bytes entregados. Revalidar permisos al construir y descargar. Verificar QA-GOV-09 a QA-GOV-12.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RE-GOV-04 · Auditoría útil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Cada mutación sensible exige identidad, instante, recurso y motivo cuando corresponda. Logs técnicos no reemplazan la evidencia funcional. Verificar QA-GOV-13 a QA-GOV-16.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RE-GOV-05 · KPI con población auditable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Cada indicador identifica fórmula, numerador, denominador, filtros y versión. Drill-down devuelve IDs autorizados que explican el agregado. Verificar QA-GOV-17 a QA-GOV-20.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RE-GOV-06 · Tiempo y corrección retrospectiva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Registrar zona, calendario y corte histórico. Recalcular una métrica crea versión de cálculo; no reemplaza silenciosamente el valor previo. Verificar QA-GOV-21 a QA-GOV-24.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RE-GOV-07 · Presupuesto y consumo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Preservar límite mensual por tenant. Reservar o comprobar capacidad de gasto antes de llamadas; evitar doble imputación de un intento confirmado. Verificar QA-GOV-25 a QA-GOV-28.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RE-GOV-08 · Búsqueda y perfiles de columnas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Guardar preferencias de columnas por rol/usuario sin ampliar permisos. Buscar por metadata y texto cuando el índice exista; comunicar retraso de indexación. Verificar QA-GOV-29 a QA-GOV-32.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Cierre y responsables</w:t>
      </w:r>
      <w:bookmarkEnd w:id="12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Responsabilidad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Producto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Ratificar alcance, reglas y configuraciones; aprobar valor y excepciones.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Desarrollo / CTO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Mapear contratos existentes, implementar brechas y revisar seguridad y operación.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QA / UX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Ejecutar casos específicos, verificar interfaz, accesibilidad y evidencia.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Operación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Medir, alertar, resolver fallos y demostrar recuperación.</w:t>
            </w:r>
          </w:p>
        </w:tc>
      </w:tr>
    </w:tbl>
    <w:p>
      <w:pPr>
        <w:pStyle w:val="Small"/>
      </w:pPr>
    </w:p>
    <w:p>
      <w:r>
        <w:t>Evidencia mínima: versión del recurso/política, build y entorno, fixture, actor, acción, resultado esperado y observado, evidencia persistida, defecto y decisión. No marcar Done mientras falte un control bloqueante.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ANX-G-V11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ANX-G-V11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