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Meta"/>
      </w:pPr>
      <w:r>
        <w:t>ANX-H-V11</w:t>
      </w:r>
    </w:p>
    <w:p>
      <w:pPr>
        <w:pStyle w:val="Title"/>
      </w:pPr>
      <w:r>
        <w:t>Canales, embed e integraciones</w:t>
      </w:r>
    </w:p>
    <w:p>
      <w:pPr>
        <w:pStyle w:val="Subtitle"/>
      </w:pPr>
      <w:r>
        <w:t>Referencia transversal · Contenido funcional, responsabilidades y criterios verificables</w:t>
      </w:r>
    </w:p>
    <w:p>
      <w:pPr>
        <w:pStyle w:val="Meta"/>
      </w:pPr>
      <w:r>
        <w:t>Versión 11 · 7 de septiembre de 2026 · Estado documental: definición funcional para validación y ejecución.</w:t>
      </w:r>
    </w:p>
    <w:p>
      <w:pPr>
        <w:pStyle w:val="Small"/>
      </w:pPr>
      <w:r>
        <w:t>Responsables: Producto, CTO, Desarrollo, QA, UX y Operación. Jira/Confluence: registrar enlaces reales al importar; los códigos de este paquete son claves documentales, no tickets creados.</w:t>
      </w:r>
    </w:p>
    <w:p>
      <w:pPr>
        <w:pStyle w:val="Heading2"/>
      </w:pPr>
      <w:r>
        <w:t>Índice de lectura</w:t>
      </w:r>
    </w:p>
    <w:p>
      <w:pPr>
        <w:pStyle w:val="Small"/>
      </w:pPr>
      <w:hyperlink w:anchor="s1">
        <w:r>
          <w:rPr>
            <w:color w:val="6639B7"/>
          </w:rPr>
          <w:t>1. Uso y aplicabilidad</w:t>
        </w:r>
      </w:hyperlink>
    </w:p>
    <w:p>
      <w:pPr>
        <w:pStyle w:val="Small"/>
      </w:pPr>
      <w:hyperlink w:anchor="s2">
        <w:r>
          <w:rPr>
            <w:color w:val="6639B7"/>
          </w:rPr>
          <w:t>2. Canales actuales</w:t>
        </w:r>
      </w:hyperlink>
    </w:p>
    <w:p>
      <w:pPr>
        <w:pStyle w:val="Small"/>
      </w:pPr>
      <w:hyperlink w:anchor="s3">
        <w:r>
          <w:rPr>
            <w:color w:val="6639B7"/>
          </w:rPr>
          <w:t>3. Embed</w:t>
        </w:r>
      </w:hyperlink>
    </w:p>
    <w:p>
      <w:pPr>
        <w:pStyle w:val="Small"/>
      </w:pPr>
      <w:hyperlink w:anchor="s4">
        <w:r>
          <w:rPr>
            <w:color w:val="6639B7"/>
          </w:rPr>
          <w:t>4. Mensajería</w:t>
        </w:r>
      </w:hyperlink>
    </w:p>
    <w:p>
      <w:pPr>
        <w:pStyle w:val="Small"/>
      </w:pPr>
      <w:hyperlink w:anchor="s5">
        <w:r>
          <w:rPr>
            <w:color w:val="6639B7"/>
          </w:rPr>
          <w:t>5. Notificaciones</w:t>
        </w:r>
      </w:hyperlink>
    </w:p>
    <w:p>
      <w:pPr>
        <w:pStyle w:val="Small"/>
      </w:pPr>
      <w:hyperlink w:anchor="s6">
        <w:r>
          <w:rPr>
            <w:color w:val="6639B7"/>
          </w:rPr>
          <w:t>6. Webhooks</w:t>
        </w:r>
      </w:hyperlink>
    </w:p>
    <w:p>
      <w:pPr>
        <w:pStyle w:val="Small"/>
      </w:pPr>
      <w:hyperlink w:anchor="s7">
        <w:r>
          <w:rPr>
            <w:color w:val="6639B7"/>
          </w:rPr>
          <w:t>7. DLQ</w:t>
        </w:r>
      </w:hyperlink>
    </w:p>
    <w:p>
      <w:pPr>
        <w:pStyle w:val="Small"/>
      </w:pPr>
      <w:hyperlink w:anchor="s8">
        <w:r>
          <w:rPr>
            <w:color w:val="6639B7"/>
          </w:rPr>
          <w:t>8. Integración por módulo</w:t>
        </w:r>
      </w:hyperlink>
    </w:p>
    <w:p>
      <w:pPr>
        <w:pStyle w:val="Small"/>
      </w:pPr>
      <w:hyperlink w:anchor="s9">
        <w:r>
          <w:rPr>
            <w:color w:val="6639B7"/>
          </w:rPr>
          <w:t>9. Pruebas de consumidor</w:t>
        </w:r>
      </w:hyperlink>
    </w:p>
    <w:p>
      <w:pPr>
        <w:pStyle w:val="Small"/>
      </w:pPr>
      <w:hyperlink w:anchor="s10">
        <w:r>
          <w:rPr>
            <w:color w:val="6639B7"/>
          </w:rPr>
          <w:t>Mapa mental y relación entre capacidades</w:t>
        </w:r>
      </w:hyperlink>
    </w:p>
    <w:p>
      <w:pPr>
        <w:pStyle w:val="Small"/>
      </w:pPr>
      <w:hyperlink w:anchor="s11">
        <w:r>
          <w:rPr>
            <w:color w:val="6639B7"/>
          </w:rPr>
          <w:t>Controles aplicables y pruebas de aceptación</w:t>
        </w:r>
      </w:hyperlink>
    </w:p>
    <w:p>
      <w:pPr>
        <w:pStyle w:val="Small"/>
      </w:pPr>
      <w:hyperlink w:anchor="s12">
        <w:r>
          <w:rPr>
            <w:color w:val="6639B7"/>
          </w:rPr>
          <w:t>Cierre y responsables</w:t>
        </w:r>
      </w:hyperlink>
    </w:p>
    <w:p>
      <w:bookmarkStart w:id="1" w:name="s1"/>
      <w:pPr>
        <w:pStyle w:val="Heading1"/>
      </w:pPr>
      <w:r>
        <w:t>1. Uso y aplicabilidad</w:t>
      </w:r>
      <w:bookmarkEnd w:id="1"/>
    </w:p>
    <w:p>
      <w:r>
        <w:t>Leer junto con N3-MVP1-V11-CHN, N3-MVP0-V11-IAM, N3-MVP0-V11-COM, N3-MVP0-V11-GOV. Los anexos no adelantan el roadmap ni acreditan pruebas. Las decisiones del N0 y los criterios N3 gobiernan el cierre.</w:t>
      </w:r>
    </w:p>
    <w:p>
      <w:r>
        <w:t>G-DEMO certifica el core documental existente. El MVP0 comercial ampliado agrega Workflow Core, Studio guiado, terceros, Supervisor v0 y COMEX ejecutable. Email/WhatsApp siguen retirados del core y se incorporan en MVP1 sólo por gate de producto. Firma es MVP1; Marketplace transaccional MVP2; Sentinel/Copilot avanzados MVP3; capacidades enterprise MVP4.</w:t>
      </w:r>
    </w:p>
    <w:p>
      <w:bookmarkStart w:id="2" w:name="s2"/>
      <w:pPr>
        <w:pStyle w:val="Heading1"/>
      </w:pPr>
      <w:r>
        <w:t>2. Canales actuales</w:t>
      </w:r>
      <w:bookmarkEnd w:id="2"/>
    </w:p>
    <w:p>
      <w:r>
        <w:t>El ingreso vigente de MVP0 es portal/API. Email y WhatsApp fueron desarrollados y retirados por decisión de producto; permanecer en el historial del código no los vuelve activos. Reactivación en MVP1 exige decisión, coste, configuración, UX y pruebas.</w:t>
      </w:r>
    </w:p>
    <w:p>
      <w:bookmarkStart w:id="3" w:name="s3"/>
      <w:pPr>
        <w:pStyle w:val="Heading1"/>
      </w:pPr>
      <w:r>
        <w:t>3. Embed</w:t>
      </w:r>
      <w:bookmarkEnd w:id="3"/>
    </w:p>
    <w:p>
      <w:r>
        <w:t>Follow, CIMA y Valid360 aportan contexto e identidad validable. NEXT mantiene autorización local y devuelve sólo datos permitidos. Abrir el mismo recurso standalone o embebido debe producir decisiones de acceso equivalentes.</w:t>
      </w:r>
    </w:p>
    <w:p>
      <w:bookmarkStart w:id="4" w:name="s4"/>
      <w:pPr>
        <w:pStyle w:val="Heading1"/>
      </w:pPr>
      <w:r>
        <w:t>4. Mensajería</w:t>
      </w:r>
      <w:bookmarkEnd w:id="4"/>
    </w:p>
    <w:p>
      <w:r>
        <w:t>Cuando se habilite, separar recepción, identificación de contexto, seguridad del adjunto y creación documental. Un remitente ambiguo no se asigna por heurística a un tenant; se rechaza o envía a resolución segura sin exponer expedientes.</w:t>
      </w:r>
    </w:p>
    <w:p>
      <w:bookmarkStart w:id="5" w:name="s5"/>
      <w:pPr>
        <w:pStyle w:val="Heading1"/>
      </w:pPr>
      <w:r>
        <w:t>5. Notificaciones</w:t>
      </w:r>
      <w:bookmarkEnd w:id="5"/>
    </w:p>
    <w:p>
      <w:r>
        <w:t>Distinguir notificación informativa y acción externa. El enlace sólo permite la acción indicada, no acceso general. Mensajes fallidos quedan visibles para operación y tienen política de retry; no duplican tareas.</w:t>
      </w:r>
    </w:p>
    <w:p>
      <w:bookmarkStart w:id="6" w:name="s6"/>
      <w:pPr>
        <w:pStyle w:val="Heading1"/>
      </w:pPr>
      <w:r>
        <w:t>6. Webhooks</w:t>
      </w:r>
      <w:bookmarkEnd w:id="6"/>
    </w:p>
    <w:p>
      <w:r>
        <w:t>Firmar el contenido contractual, validar autenticidad y ventana de replay, deduplicar y responder después de confirmar recepción durable. Los consumidores no confían en el orden de llegada para sobrescribir una revisión más nueva.</w:t>
      </w:r>
    </w:p>
    <w:p>
      <w:bookmarkStart w:id="7" w:name="s7"/>
      <w:pPr>
        <w:pStyle w:val="Heading1"/>
      </w:pPr>
      <w:r>
        <w:t>7. DLQ</w:t>
      </w:r>
      <w:bookmarkEnd w:id="7"/>
    </w:p>
    <w:p>
      <w:r>
        <w:t>Tras reintentos agotados, mostrar causa, destino, último intento y correlación. Reprocesar requiere permiso y preserva idempotencia. Un evento en DLQ no se contabiliza como entregado; alertar según criticidad y antigüedad.</w:t>
      </w:r>
    </w:p>
    <w:p>
      <w:bookmarkStart w:id="8" w:name="s8"/>
      <w:pPr>
        <w:pStyle w:val="Heading1"/>
      </w:pPr>
      <w:r>
        <w:t>8. Integración por módulo</w:t>
      </w:r>
      <w:bookmarkEnd w:id="8"/>
    </w:p>
    <w:p>
      <w:r>
        <w:t>N0-V11-INTERCONEXIONES contiene IF-01 a IF-22. Sistemas mapea esos contratos a endpoints/eventos reales y documenta compatibilidad. Las claves IF son especificaciones funcionales, no rutas API ya existentes.</w:t>
      </w:r>
    </w:p>
    <w:p>
      <w:bookmarkStart w:id="9" w:name="s9"/>
      <w:pPr>
        <w:pStyle w:val="Heading1"/>
      </w:pPr>
      <w:r>
        <w:t>9. Pruebas de consumidor</w:t>
      </w:r>
      <w:bookmarkEnd w:id="9"/>
    </w:p>
    <w:p>
      <w:r>
        <w:t>Usar payload válido, firma inválida, tenant incorrecto, duplicado, evento fuera de orden, destino caído y recuperación. Confirmar resultados en ambos lados y correlación de evidencia; una respuesta HTTP aislada no demuestra cierre del proceso.</w:t>
      </w:r>
    </w:p>
    <w:p>
      <w:bookmarkStart w:id="10" w:name="s10"/>
      <w:pPr>
        <w:pStyle w:val="Heading1"/>
      </w:pPr>
      <w:r>
        <w:t>Mapa mental y relación entre capacidades</w:t>
      </w:r>
      <w:bookmarkEnd w:id="10"/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9319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ment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19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Mapa de reglas del módulo CHN. El detalle verificable está en su N3.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5943600" cy="38404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N_re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04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Capacidades que consume CHN; contratos completos en N0-V11-INTERCONEXIONES.</w:t>
      </w:r>
    </w:p>
    <w:p>
      <w:bookmarkStart w:id="11" w:name="s11"/>
      <w:pPr>
        <w:pStyle w:val="Heading1"/>
      </w:pPr>
      <w:r>
        <w:t>Controles aplicables y pruebas de aceptación</w:t>
      </w:r>
      <w:bookmarkEnd w:id="11"/>
    </w:p>
    <w:p>
      <w:pPr>
        <w:pStyle w:val="Heading2"/>
      </w:pPr>
      <w:r>
        <w:t>CHN · Canales, firma y experiencia móvil</w:t>
      </w:r>
    </w:p>
    <w:p>
      <w:r>
        <w:t>CONSTRUIR o REINCORPORAR bajo gate de producto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RE-CHN-01 · Activación explícita de canal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Reincorporar código histórico sólo tras revisar contrato y seguridad. Flag por tenant; ningún canal futuro se anuncia como disponible en core. Verificar QA-CHN-01 a QA-CHN-04.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RE-CHN-02 · Routing de mensajes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Resolver tenant, proceso y sujeto antes de efecto. Mensaje ambiguo pide contexto; no crea múltiples instancias por inferencia. Verificar QA-CHN-05 a QA-CHN-08.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RE-CHN-03 · Adjuntos y duplicados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Aplicar controles DOC en todos los canales. Duplicidad por mensaje no elimina archivos diferentes dentro de un hilo. Verificar QA-CHN-09 a QA-CHN-12.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RE-CHN-04 · Firma de documento exacto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solicitud al hash y versión del documento. Un cambio de bytes requiere una nueva solicitud; no trasladar firma. Verificar QA-CHN-13 a QA-CHN-16.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RE-CHN-05 · Callbacks de proveedor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Validar autenticidad, correlación y estado; sólo evidencia positiva válida marca firmada. Callback duplicado no repite cierre de tarea. Verificar QA-CHN-17 a QA-CHN-20.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RE-CHN-06 · Método y evidencia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Elegir método según política aprobada por caso y jurisdicción. WhatsApp entrega enlace; no equivale por sí mismo a acto de firma calificado. Verificar QA-CHN-21 a QA-CHN-24.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RE-CHN-07 · Móvil y continuidad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Mantener misma instancia entre portal y canal con identidad verificada. Acciones sensibles requieren conexión y revisión actual del servidor. Verificar QA-CHN-25 a QA-CHN-28.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RE-CHN-08 · Operación de entregas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recibido, asociado, procesado y entregado. Reintentos transitorios no reejecutan negocio; errores permanentes requieren corrección. Verificar QA-CHN-29 a QA-CHN-32.</w:t>
            </w:r>
          </w:p>
        </w:tc>
      </w:tr>
    </w:tbl>
    <w:p>
      <w:pPr>
        <w:pStyle w:val="Small"/>
      </w:pPr>
    </w:p>
    <w:p>
      <w:pPr>
        <w:pStyle w:val="Heading2"/>
      </w:pPr>
      <w:r>
        <w:t>IAM · Identidad, tenancy y colaboración externa</w:t>
      </w:r>
    </w:p>
    <w:p>
      <w:r>
        <w:t>CONSERVAR IAM/SSO; CONSTRUIR delegación y tareas externas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RE-IAM-01 · Aislamiento efectivo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Derivar tenant autorizado de sesión y membresía. Aplicar control a lectura, escritura, búsqueda y descarga; rechazar cruces aunque el recurso exista. Verificar QA-IAM-01 a QA-IAM-04.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RE-IAM-02 · SSO y contexto host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SSO reportado con Follow, CIMA y Valid360. Validar emisor, audiencia, vigencia y usuario local habilitado; el host no concede permisos internos. Verificar QA-IAM-05 a QA-IAM-08.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RE-IAM-03 · Delegación explícita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El tenant cliente concede scopes y expiración a un partner. Sólo esos scopes habilitan configuración; propiedad comercial no otorga acceso permanente a datos. Verificar QA-IAM-09 a QA-IAM-12.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RE-IAM-04 · Acción externa de propósito único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Vincular token a una tarea y acción autorizada. TTL se evalúa en servidor; fixture de QA usa 15 minutos. Token no permite abrir listado de expedientes. Verificar QA-IAM-13 a QA-IAM-16.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RE-IAM-05 · Revocación y consumo atómico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Consultar revocación antes del efecto. El token de un uso se consume en la misma unidad de consistencia que la acción; reintento no repite efectos. Verificar QA-IAM-17 a QA-IAM-20.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RE-IAM-06 · Mínimo privilegio visible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Separar el contenido de la tarea de notas internas, otras tareas, métricas de costos y reglas administrativas. El control se aplica a API además de UI. Verificar QA-IAM-21 a QA-IAM-24.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RE-IAM-07 · Invitación y reemisión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reemisión invalida el token anterior cuando la política sea single-active. Destinatario debe estar asociado a la tarea; cambios quedan auditados. Verificar QA-IAM-25 a QA-IAM-28.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RE-IAM-08 · Sesión y seguridad de navegador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No introducir claves permanentes de servicio en navegador. Expiración, logout y autorización de deep links deben preservar la frontera entre host y NEXT. Verificar QA-IAM-29 a QA-IAM-32.</w:t>
            </w:r>
          </w:p>
        </w:tc>
      </w:tr>
    </w:tbl>
    <w:p>
      <w:pPr>
        <w:pStyle w:val="Small"/>
      </w:pPr>
    </w:p>
    <w:p>
      <w:pPr>
        <w:pStyle w:val="Heading2"/>
      </w:pPr>
      <w:r>
        <w:t>COM · COMEX, overlays y conector Follow</w:t>
      </w:r>
    </w:p>
    <w:p>
      <w:r>
        <w:t>CONSTRUIR plantillas ejecutables; CONSERVAR transportes SSO/webhook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RE-COM-01 · Contexto canónico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Exigir source, tenant y subject_ref inequívocos; los códigos externos conservan significado de Follow. No usar nombre libre de carga como identificador. Verificar QA-COM-01 a QA-COM-04.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RE-COM-02 · Biblioteca de catorce bases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Mantener un registro de las catorce bases del pack con dirección, modo, documentos y pruebas. No multiplicar bases por cada atributo de carga. Verificar QA-COM-05 a QA-COM-08.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RE-COM-03 · Overlays por atributos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Reefer, peligrosa y demás atributos agregan obligaciones compatibles sobre base. La recomendación muestra por qué cada overlay fue elegido. Verificar QA-COM-09 a QA-COM-12.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RE-COM-04 · Composición multimodal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tramo conserva documentos, actores y transferencia de responsabilidad. El cierre de un tramo no cierra los pendientes del siguiente. Verificar QA-COM-13 a QA-COM-16.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RE-COM-05 · Correspondencia SRP126 y SRP127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SRP126 refiere selección/configuración de plantillas; SRP127 refiere verificaciones. NEXT mantiene definición, evidencia y resultado documental; Follow conserva operación logística. Verificar QA-COM-17 a QA-COM-20.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RE-COM-06 · Duplicados y reconciliación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La misma intención externa produce una instancia. Eventos fuera de orden no revierten una revisión más nueva; reconciliar por versión y referencia, no por hora de llegada. Verificar QA-COM-21 a QA-COM-24.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RE-COM-07 · Resultado explicable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Readiness expresa obligaciones cumplidas y faltantes por documento/tramo. Una dispensa se devuelve explícitamente, no como documento válido inexistente. Verificar QA-COM-25 a QA-COM-28.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RE-COM-08 · Entregas a Follow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Usar entrega firmada y reintentos existentes; el estado de entrega se separa del resultado documental. La caída del receptor no revierte la validación. Verificar QA-COM-29 a QA-COM-32.</w:t>
            </w:r>
          </w:p>
        </w:tc>
      </w:tr>
    </w:tbl>
    <w:p>
      <w:pPr>
        <w:pStyle w:val="Small"/>
      </w:pPr>
    </w:p>
    <w:p>
      <w:pPr>
        <w:pStyle w:val="Heading2"/>
      </w:pPr>
      <w:r>
        <w:t>GOV · DMS, auditoría, KPI y control de costo</w:t>
      </w:r>
    </w:p>
    <w:p>
      <w:r>
        <w:t>CONSERVAR + AJUSTAR integración de procesos</w:t>
      </w:r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Regla</w:t>
            </w:r>
          </w:p>
        </w:tc>
        <w:tc>
          <w:tcPr>
            <w:tcW w:type="dxa" w:w="63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Control y evidencia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RE-GOV-01 · Original y versionado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Conservar original inmutable y cadena supersedes. Una corrección de facts no reemplaza los bytes originales ni altera el hash de origen. Verificar QA-GOV-01 a QA-GOV-04.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RE-GOV-02 · Retención y legal hold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Legal hold suspende purga normal. Comprobar hold de nuevo inmediatamente antes del borrado; el vencimiento de export temporal no borra originales. Verificar QA-GOV-05 a QA-GOV-08.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RE-GOV-03 · Exportación reproducible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Export incluye índice, manifiesto por archivo y hashes calculados sobre bytes entregados. Revalidar permisos al construir y descargar. Verificar QA-GOV-09 a QA-GOV-12.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RE-GOV-04 · Auditoría útil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mutación sensible exige identidad, instante, recurso y motivo cuando corresponda. Logs técnicos no reemplazan la evidencia funcional. Verificar QA-GOV-13 a QA-GOV-16.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RE-GOV-05 · KPI con población auditable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Cada indicador identifica fórmula, numerador, denominador, filtros y versión. Drill-down devuelve IDs autorizados que explican el agregado. Verificar QA-GOV-17 a QA-GOV-20.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RE-GOV-06 · Tiempo y corrección retrospectiva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Registrar zona, calendario y corte histórico. Recalcular una métrica crea versión de cálculo; no reemplaza silenciosamente el valor previo. Verificar QA-GOV-21 a QA-GOV-24.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RE-GOV-07 · Presupuesto y consumo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Preservar límite mensual por tenant. Reservar o comprobar capacidad de gasto antes de llamadas; evitar doble imputación de un intento confirmado. Verificar QA-GOV-25 a QA-GOV-28.</w:t>
            </w:r>
          </w:p>
        </w:tc>
      </w:tr>
      <w:tr>
        <w:trPr>
          <w:cantSplit/>
        </w:trPr>
        <w:tc>
          <w:tcPr>
            <w:tcW w:type="dxa" w:w="3000"/>
            <w:vAlign w:val="top"/>
          </w:tcPr>
          <w:p>
            <w:pPr>
              <w:pStyle w:val="TableText"/>
            </w:pPr>
            <w:r>
              <w:t>RE-GOV-08 · Búsqueda y perfiles de columnas</w:t>
            </w:r>
          </w:p>
        </w:tc>
        <w:tc>
          <w:tcPr>
            <w:tcW w:type="dxa" w:w="6360"/>
            <w:vAlign w:val="top"/>
          </w:tcPr>
          <w:p>
            <w:pPr>
              <w:pStyle w:val="TableText"/>
            </w:pPr>
            <w:r>
              <w:t>Guardar preferencias de columnas por rol/usuario sin ampliar permisos. Buscar por metadata y texto cuando el índice exista; comunicar retraso de indexación. Verificar QA-GOV-29 a QA-GOV-32.</w:t>
            </w:r>
          </w:p>
        </w:tc>
      </w:tr>
    </w:tbl>
    <w:p>
      <w:pPr>
        <w:pStyle w:val="Small"/>
      </w:pPr>
    </w:p>
    <w:p>
      <w:bookmarkStart w:id="12" w:name="s12"/>
      <w:pPr>
        <w:pStyle w:val="Heading1"/>
      </w:pPr>
      <w:r>
        <w:t>Cierre y responsables</w:t>
      </w:r>
      <w:bookmarkEnd w:id="12"/>
    </w:p>
    <w:tbl>
      <w:tblPr>
        <w:jc w:val="left"/>
        <w:tblLook w:firstColumn="1" w:firstRow="1" w:lastColumn="0" w:lastRow="0" w:noHBand="0" w:noVBand="1" w:val="04A0"/>
        <w:tblW w:w="9360" w:type="dxa"/>
        <w:tblInd w:w="120" w:type="dxa"/>
        <w:tblLayout w:type="fixed"/>
        <w:tblCellMar>
          <w:top w:w="80" w:type="dxa"/>
          <w:bottom w:w="80" w:type="dxa"/>
          <w:start w:w="120" w:type="dxa"/>
          <w:end w:w="120" w:type="dxa"/>
        </w:tblCellMar>
        <w:tblBorders>
          <w:top w:val="single" w:sz="4" w:color="D9DDE5"/>
          <w:left w:val="single" w:sz="4" w:color="D9DDE5"/>
          <w:bottom w:val="single" w:sz="4" w:color="D9DDE5"/>
          <w:right w:val="single" w:sz="4" w:color="D9DDE5"/>
          <w:insideH w:val="single" w:sz="4" w:color="D9DDE5"/>
          <w:insideV w:val="single" w:sz="4" w:color="D9DDE5"/>
        </w:tblBorders>
      </w:tblPr>
      <w:tblGrid>
        <w:gridCol w:w="2200"/>
        <w:gridCol w:w="7160"/>
      </w:tblGrid>
      <w:tr>
        <w:trPr>
          <w:cantSplit/>
          <w:tblHeader/>
        </w:trPr>
        <w:tc>
          <w:tcPr>
            <w:tcW w:type="dxa" w:w="220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Rol</w:t>
            </w:r>
          </w:p>
        </w:tc>
        <w:tc>
          <w:tcPr>
            <w:tcW w:type="dxa" w:w="7160"/>
            <w:vAlign w:val="top"/>
            <w:shd w:fill="272332"/>
          </w:tcPr>
          <w:p>
            <w:pPr>
              <w:pStyle w:val="TableText"/>
            </w:pPr>
            <w:r>
              <w:rPr>
                <w:b/>
                <w:color w:val="FFFFFF"/>
              </w:rPr>
              <w:t>Responsabilidad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Producto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Ratificar alcance, reglas y configuraciones; aprobar valor y excepciones.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Desarrollo / CTO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Mapear contratos existentes, implementar brechas y revisar seguridad y operación.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QA / UX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Ejecutar casos específicos, verificar interfaz, accesibilidad y evidencia.</w:t>
            </w:r>
          </w:p>
        </w:tc>
      </w:tr>
      <w:tr>
        <w:trPr>
          <w:cantSplit/>
        </w:trPr>
        <w:tc>
          <w:tcPr>
            <w:tcW w:type="dxa" w:w="2200"/>
            <w:vAlign w:val="top"/>
          </w:tcPr>
          <w:p>
            <w:pPr>
              <w:pStyle w:val="TableText"/>
            </w:pPr>
            <w:r>
              <w:t>Operación</w:t>
            </w:r>
          </w:p>
        </w:tc>
        <w:tc>
          <w:tcPr>
            <w:tcW w:type="dxa" w:w="7160"/>
            <w:vAlign w:val="top"/>
          </w:tcPr>
          <w:p>
            <w:pPr>
              <w:pStyle w:val="TableText"/>
            </w:pPr>
            <w:r>
              <w:t>Medir, alertar, resolver fallos y demostrar recuperación.</w:t>
            </w:r>
          </w:p>
        </w:tc>
      </w:tr>
    </w:tbl>
    <w:p>
      <w:pPr>
        <w:pStyle w:val="Small"/>
      </w:pPr>
    </w:p>
    <w:p>
      <w:r>
        <w:t>Evidencia mínima: versión del recurso/política, build y entorno, fixture, actor, acción, resultado esperado y observado, evidencia persistida, defecto y decisión. No marcar Done mientras falte un control bloqueante.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>
      <w:t xml:space="preserve">NEXT DOC AI · 07/09/2026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</w:pPr>
    <w:r>
      <w:rPr>
        <w:b/>
        <w:color w:val="DA243C"/>
      </w:rPr>
      <w:t>NEXT DOC AI</w:t>
    </w:r>
    <w:r>
      <w:t xml:space="preserve">  /  V11  /  ANX-H-V11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72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72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72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72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72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9" w:lineRule="auto"/>
    </w:pPr>
    <w:rPr>
      <w:rFonts w:ascii="Calibri" w:hAnsi="Calibri"/>
      <w:color w:val="181C25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 w:line="264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6639B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167B8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81C2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59" w:lineRule="auto" w:before="0"/>
      <w:contextualSpacing/>
    </w:pPr>
    <w:rPr>
      <w:rFonts w:asciiTheme="majorHAnsi" w:eastAsiaTheme="majorEastAsia" w:hAnsiTheme="majorHAnsi" w:cstheme="majorBidi" w:ascii="Calibri" w:hAnsi="Calibri"/>
      <w:color w:val="181C2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00" w:line="269" w:lineRule="auto"/>
    </w:pPr>
    <w:rPr>
      <w:rFonts w:asciiTheme="majorHAnsi" w:eastAsiaTheme="majorEastAsia" w:hAnsiTheme="majorHAnsi" w:cstheme="majorBidi" w:ascii="Calibri" w:hAnsi="Calibri"/>
      <w:i/>
      <w:iCs/>
      <w:color w:val="5C657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69" w:lineRule="auto"/>
      <w:contextualSpacing/>
    </w:pPr>
    <w:rPr>
      <w:rFonts w:ascii="Calibri" w:hAnsi="Calibri"/>
      <w:color w:val="181C25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Calibri" w:hAnsi="Calibri"/>
      <w:b/>
      <w:bCs/>
      <w:color w:val="5C6576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Text"/>
    <w:pPr>
      <w:spacing w:after="60" w:line="252" w:lineRule="auto"/>
    </w:pPr>
    <w:rPr>
      <w:rFonts w:ascii="Calibri" w:hAnsi="Calibri"/>
      <w:color w:val="181C25"/>
      <w:sz w:val="18"/>
    </w:rPr>
  </w:style>
  <w:style w:type="paragraph" w:customStyle="1" w:styleId="Small">
    <w:name w:val="Small"/>
    <w:pPr>
      <w:spacing w:after="60" w:line="252" w:lineRule="auto"/>
    </w:pPr>
    <w:rPr>
      <w:rFonts w:ascii="Calibri" w:hAnsi="Calibri"/>
      <w:color w:val="5C6576"/>
      <w:sz w:val="18"/>
    </w:rPr>
  </w:style>
  <w:style w:type="paragraph" w:customStyle="1" w:styleId="Meta">
    <w:name w:val="Meta"/>
    <w:pPr>
      <w:spacing w:after="60" w:line="252" w:lineRule="auto"/>
    </w:pPr>
    <w:rPr>
      <w:rFonts w:ascii="Calibri" w:hAnsi="Calibri"/>
      <w:color w:val="181C25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ANX-H-V11</dc:title>
  <dc:subject>Especificación funcional V11</dc:subject>
  <dc:creator>NEXT DOC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