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ANX-I-V11</w:t>
      </w:r>
    </w:p>
    <w:p>
      <w:pPr>
        <w:pStyle w:val="Title"/>
      </w:pPr>
      <w:r>
        <w:t>KPI, gobernanza y trazabilidad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Unidad de medición</w:t>
        </w:r>
      </w:hyperlink>
    </w:p>
    <w:p>
      <w:pPr>
        <w:pStyle w:val="Small"/>
      </w:pPr>
      <w:hyperlink w:anchor="s3">
        <w:r>
          <w:rPr>
            <w:color w:val="6639B7"/>
          </w:rPr>
          <w:t>3. Latencia</w:t>
        </w:r>
      </w:hyperlink>
    </w:p>
    <w:p>
      <w:pPr>
        <w:pStyle w:val="Small"/>
      </w:pPr>
      <w:hyperlink w:anchor="s4">
        <w:r>
          <w:rPr>
            <w:color w:val="6639B7"/>
          </w:rPr>
          <w:t>4. Calidad</w:t>
        </w:r>
      </w:hyperlink>
    </w:p>
    <w:p>
      <w:pPr>
        <w:pStyle w:val="Small"/>
      </w:pPr>
      <w:hyperlink w:anchor="s5">
        <w:r>
          <w:rPr>
            <w:color w:val="6639B7"/>
          </w:rPr>
          <w:t>5. SLA</w:t>
        </w:r>
      </w:hyperlink>
    </w:p>
    <w:p>
      <w:pPr>
        <w:pStyle w:val="Small"/>
      </w:pPr>
      <w:hyperlink w:anchor="s6">
        <w:r>
          <w:rPr>
            <w:color w:val="6639B7"/>
          </w:rPr>
          <w:t>6. Audit</w:t>
        </w:r>
      </w:hyperlink>
    </w:p>
    <w:p>
      <w:pPr>
        <w:pStyle w:val="Small"/>
      </w:pPr>
      <w:hyperlink w:anchor="s7">
        <w:r>
          <w:rPr>
            <w:color w:val="6639B7"/>
          </w:rPr>
          <w:t>7. Calidad de proyección</w:t>
        </w:r>
      </w:hyperlink>
    </w:p>
    <w:p>
      <w:pPr>
        <w:pStyle w:val="Small"/>
      </w:pPr>
      <w:hyperlink w:anchor="s8">
        <w:r>
          <w:rPr>
            <w:color w:val="6639B7"/>
          </w:rPr>
          <w:t>8. Gestión de entrega</w:t>
        </w:r>
      </w:hyperlink>
    </w:p>
    <w:p>
      <w:pPr>
        <w:pStyle w:val="Small"/>
      </w:pPr>
      <w:hyperlink w:anchor="s9">
        <w:r>
          <w:rPr>
            <w:color w:val="6639B7"/>
          </w:rPr>
          <w:t>9. Decisión de release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N3-MVP0-V11-GOV, N3-MVP0-V11-REL, N3-MVP0-V11-SUP, N3-MVP2-V11-MKT.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Unidad de medición</w:t>
      </w:r>
      <w:bookmarkEnd w:id="2"/>
    </w:p>
    <w:p>
      <w:r>
        <w:t>Definir denominador, ventana, fuente, exclusiones y responsable de cada KPI. No mezclar documentos recibidos, versiones y expedientes. Una métrica comercial no acredita precisión de IA ni calidad funcional.</w:t>
      </w:r>
    </w:p>
    <w:p>
      <w:bookmarkStart w:id="3" w:name="s3"/>
      <w:pPr>
        <w:pStyle w:val="Heading1"/>
      </w:pPr>
      <w:r>
        <w:t>3. Latencia</w:t>
      </w:r>
      <w:bookmarkEnd w:id="3"/>
    </w:p>
    <w:p>
      <w:r>
        <w:t>Separar espera de cola, extracción, revisión humana y cierre total. Publicar percentiles además de promedio y contar errores. Medir con reloj consistente; documentar si la ventana incluye reintentos.</w:t>
      </w:r>
    </w:p>
    <w:p>
      <w:bookmarkStart w:id="4" w:name="s4"/>
      <w:pPr>
        <w:pStyle w:val="Heading1"/>
      </w:pPr>
      <w:r>
        <w:t>4. Calidad</w:t>
      </w:r>
      <w:bookmarkEnd w:id="4"/>
    </w:p>
    <w:p>
      <w:r>
        <w:t>Tasa de extracción correcta usa ground truth; validación correcta usa decisión esperada por regla. Distinguir falso positivo, falso negativo y revisión. El objetivo debe aprobarse por riesgo y tipo antes de comparar releases.</w:t>
      </w:r>
    </w:p>
    <w:p>
      <w:bookmarkStart w:id="5" w:name="s5"/>
      <w:pPr>
        <w:pStyle w:val="Heading1"/>
      </w:pPr>
      <w:r>
        <w:t>5. SLA</w:t>
      </w:r>
      <w:bookmarkEnd w:id="5"/>
    </w:p>
    <w:p>
      <w:r>
        <w:t>Calcular vencimiento con calendario y zona definidos. Pausar sólo por eventos permitidos. Una tarea reasignada no reinicia el plazo automáticamente. Mostrar backlog vencido y tiempo de resolución por causa.</w:t>
      </w:r>
    </w:p>
    <w:p>
      <w:bookmarkStart w:id="6" w:name="s6"/>
      <w:pPr>
        <w:pStyle w:val="Heading1"/>
      </w:pPr>
      <w:r>
        <w:t>6. Audit</w:t>
      </w:r>
      <w:bookmarkEnd w:id="6"/>
    </w:p>
    <w:p>
      <w:r>
        <w:t>Registrar actor efectivo, delegante, tenant, recurso/revisión, acción, motivo, fecha y correlación. El registro permite reconstruir la decisión; limitar cambios y accesos según permisos. No usar logs efímeros como única evidencia.</w:t>
      </w:r>
    </w:p>
    <w:p>
      <w:bookmarkStart w:id="7" w:name="s7"/>
      <w:pPr>
        <w:pStyle w:val="Heading1"/>
      </w:pPr>
      <w:r>
        <w:t>7. Calidad de proyección</w:t>
      </w:r>
      <w:bookmarkEnd w:id="7"/>
    </w:p>
    <w:p>
      <w:r>
        <w:t>Una proyección de dashboard informa hasta qué evento o instante está actualizada. La reconstrucción usa eventos y reglas versionados. Si hay retraso, la UI lo muestra y no ofrece una cifra como en tiempo real.</w:t>
      </w:r>
    </w:p>
    <w:p>
      <w:bookmarkStart w:id="8" w:name="s8"/>
      <w:pPr>
        <w:pStyle w:val="Heading1"/>
      </w:pPr>
      <w:r>
        <w:t>8. Gestión de entrega</w:t>
      </w:r>
      <w:bookmarkEnd w:id="8"/>
    </w:p>
    <w:p>
      <w:r>
        <w:t>Cada historia HU enlaza regla RE, casos CP, QA, fixture, módulo y gate. El equipo agrega ticket real, responsable nominal, estimación, commit/build y run. Un estado documental PENDIENTE no debe importarse como Done.</w:t>
      </w:r>
    </w:p>
    <w:p>
      <w:bookmarkStart w:id="9" w:name="s9"/>
      <w:pPr>
        <w:pStyle w:val="Heading1"/>
      </w:pPr>
      <w:r>
        <w:t>9. Decisión de release</w:t>
      </w:r>
      <w:bookmarkEnd w:id="9"/>
    </w:p>
    <w:p>
      <w:r>
        <w:t>Producto valida resultado, QA evidencia y defectos, CTO/Ops operación y reversibilidad. Bloqueantes abiertos impiden aprobación. Una excepción requiere alcance explícito y no puede dispensar aislamiento o integridad sin una decisión formal del responsable.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GOV.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GOV;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GOV · DMS, auditoría, KPI y control de costo</w:t>
      </w:r>
    </w:p>
    <w:p>
      <w:r>
        <w:t>CONSERVAR + AJUSTAR integración de procesos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RE-GOV-01 · Original y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original inmutable y cadena supersedes. Una corrección de facts no reemplaza los bytes originales ni altera el hash de origen. Verificar QA-GOV-01 a QA-GOV-04.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RE-GOV-02 · Retención y legal hold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Legal hold suspende purga normal. Comprobar hold de nuevo inmediatamente antes del borrado; el vencimiento de export temporal no borra originales. Verificar QA-GOV-05 a QA-GOV-08.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RE-GOV-03 · Exportación reproducible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Export incluye índice, manifiesto por archivo y hashes calculados sobre bytes entregados. Revalidar permisos al construir y descargar. Verificar QA-GOV-09 a QA-GOV-12.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RE-GOV-04 · Auditoría útil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mutación sensible exige identidad, instante, recurso y motivo cuando corresponda. Logs técnicos no reemplazan la evidencia funcional. Verificar QA-GOV-13 a QA-GOV-16.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RE-GOV-05 · KPI con población auditable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indicador identifica fórmula, numerador, denominador, filtros y versión. Drill-down devuelve IDs autorizados que explican el agregado. Verificar QA-GOV-17 a QA-GOV-20.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RE-GOV-06 · Tiempo y corrección retrospectiva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Registrar zona, calendario y corte histórico. Recalcular una métrica crea versión de cálculo; no reemplaza silenciosamente el valor previo. Verificar QA-GOV-21 a QA-GOV-24.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RE-GOV-07 · Presupuesto y consumo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Preservar límite mensual por tenant. Reservar o comprobar capacidad de gasto antes de llamadas; evitar doble imputación de un intento confirmado. Verificar QA-GOV-25 a QA-GOV-28.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RE-GOV-08 · Búsqueda y perfiles de columnas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preferencias de columnas por rol/usuario sin ampliar permisos. Buscar por metadata y texto cuando el índice exista; comunicar retraso de indexación. Verificar QA-GOV-29 a QA-GOV-32.</w:t>
            </w:r>
          </w:p>
        </w:tc>
      </w:tr>
    </w:tbl>
    <w:p>
      <w:pPr>
        <w:pStyle w:val="Small"/>
      </w:pPr>
    </w:p>
    <w:p>
      <w:pPr>
        <w:pStyle w:val="Heading2"/>
      </w:pPr>
      <w:r>
        <w:t>REL · Certificación, regresión y release</w:t>
      </w:r>
    </w:p>
    <w:p>
      <w:r>
        <w:t>CERTIFICAR; CONSTRUIR QA UI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RE-REL-01 · Infraestructura obligatoria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Ejecutar integración con NEXTDOCS_PRUEBA_OBLIGATORIA=true. PostgreSQL, Redis, MinIO y Keycloak deben estar disponibles; omitir pruebas no cuenta como éxito. Verificar QA-REL-01 a QA-REL-04.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RE-REL-02 · Regresión del core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73 unitarias y 174 de integración reportadas como inventario inicial, verificando el conteo real en repo. Agregar pruebas no autoriza perder cobertura existente. Verificar QA-REL-05 a QA-REL-08.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RE-REL-03 · Recorrido humano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Antes de demo ejecutar login, carga, tipo, visor, corrección, excepción y dashboard. Repetir específicamente captura genérica. Verificar QA-REL-09 a QA-REL-12.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RE-REL-04 · Corpus real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Procesar 10–15 documentos autorizados para primera prueba; no extrapolar a precisión industrial. Gold corpus de release tiene etiquetas revisadas y métricas por tipo/campo. Verificar QA-REL-13 a QA-REL-16.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RE-REL-05 · Secretos y acceso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Rotar la clave Gemini antes de datos cliente; registrar evidencia de revocación y funcionamiento sin guardar valor. Revisar también que los artefactos de UI no contengan secretos. Verificar QA-REL-17 a QA-REL-20.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RE-REL-06 · Carga y resiliencia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se conoce la capacidad productiva. Registrar perfil acordado antes de medir; el gate exige cero pérdidas/duplicados y comparar latencia con objetivo aprobado. Verificar QA-REL-21 a QA-REL-24.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RE-REL-07 · Dos hitos distintos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G-DEMO certifica sólo IA Docs existente. 0H requiere Workflow, Studio, Supervisor, terceros y COMEX probados además del core. No exigir módulos nuevos para validar demo documental. Verificar QA-REL-25 a QA-REL-28.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RE-REL-08 · Despliegue y rollback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Fijar build, migraciones compatibles, backup, observabilidad y reversa. El rollback de app no implica borrar datos ni revertir migraciones destructivas sin plan. Verificar QA-REL-29 a QA-REL-32.</w:t>
            </w:r>
          </w:p>
        </w:tc>
      </w:tr>
    </w:tbl>
    <w:p>
      <w:pPr>
        <w:pStyle w:val="Small"/>
      </w:pPr>
    </w:p>
    <w:p>
      <w:pPr>
        <w:pStyle w:val="Heading2"/>
      </w:pPr>
      <w:r>
        <w:t>SUP · Supervisor de procesos v0</w:t>
      </w:r>
    </w:p>
    <w:p>
      <w:r>
        <w:t>CONSTRUIR sobre facts y excepciones existentes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RE-SUP-01 · Políticas publicadas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Sólo evaluar políticas aprobadas y compatibles con la versión de proceso. Política inexistente no habilita acciones sensibles por defecto. Verificar QA-SUP-01 a QA-SUP-04.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RE-SUP-02 · Confianza por campo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Los campos críticos de baja confianza crean revisión, aunque la confianza promedio del documento sea alta. Umbrales de QA no sustituyen configuración cliente. Verificar QA-SUP-05 a QA-SUP-08.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RE-SUP-03 · Consistencia entre documentos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Comparar valores normalizados con unidades, moneda y tolerancia declaradas. Ausencia de dato genera faltante; no afirmar contradicción entre null y un valor. Verificar QA-SUP-09 a QA-SUP-12.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RE-SUP-04 · Severidad y acciones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Severidad warning no bloquea; blocking impide transición concreta. Una sugerencia IA no firma, envía ni cambia outcome sin política. Verificar QA-SUP-13 a QA-SUP-16.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RE-SUP-05 · SLA y escalación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Evaluar tiempo con calendario tenant y emitir una acción por vencimiento lógico. Repetir scheduler no multiplica hallazgos. Verificar QA-SUP-17 a QA-SUP-20.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RE-SUP-06 · Resolución y dispensa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Cerrar hallazgo exige corrección verificable o dispensa autorizada con motivo. Un ACK de lectura no resuelve un bloqueo. Verificar QA-SUP-21 a QA-SUP-24.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RE-SUP-07 · Reevaluación idempotente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identidad estable de hallazgo por regla, sujeto y versión evaluada. Nuevas evidencias actualizan el caso; no producen ruido duplicado. Verificar QA-SUP-25 a QA-SUP-28.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RE-SUP-08 · Explicación y límites 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Mostrar documentos, campos, valores comparados, regla y versión. Si falta evidencia, derivar; el supervisor v0 no se presenta como Sentinel avanzado. Verificar QA-SUP-29 a QA-SUP-32.</w:t>
            </w:r>
          </w:p>
        </w:tc>
      </w:tr>
    </w:tbl>
    <w:p>
      <w:pPr>
        <w:pStyle w:val="Small"/>
      </w:pPr>
    </w:p>
    <w:p>
      <w:pPr>
        <w:pStyle w:val="Heading2"/>
      </w:pPr>
      <w:r>
        <w:t>MKT · Catálogo, certificación y economía Marketplace</w:t>
      </w:r>
    </w:p>
    <w:p>
      <w:r>
        <w:t>CONSTRUIR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RE-MKT-01 · Publisher verificado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Publisher activo y propietario/licenciado del contenido puede solicitar certificación; declarar soporte y países aplicables. Verificar QA-MKT-01 a QA-MKT-04.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RE-MKT-02 · Certificación por versión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Certificar versión exacta con fixtures y dependencias. Edición posterior exige nueva revisión; insignia no cubre versiones diferentes. Verificar QA-MKT-05 a QA-MKT-08.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RE-MKT-03 · Visibilidad del catálogo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Catálogo público y privado aplican permisos y disponibilidad por tenant/país; buscador no filtra metadata de ofertas privadas. Verificar QA-MKT-09 a QA-MKT-12.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RE-MKT-04 · Términos fijados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Fijar precio, moneda, impuestos aplicables y versión de términos antes de confirmar. Cambio de precio requiere nueva aceptación. Verificar QA-MKT-13 a QA-MKT-16.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RE-MKT-05 · Pago y derecho separados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Sólo confirmación válida de pago o licencia gratuita aprobada genera entitlement. Timeout de pago no equivale a rechazo definitivo ni a éxito. Verificar QA-MKT-17 a QA-MKT-20.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RE-MKT-06 · Licencias vigentes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Licencia define tenant, versión/alcance y vigencia. Expirar licencia no borra documentos; afecta nuevos usos según términos aceptados. Verificar QA-MKT-21 a QA-MKT-24.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RE-MKT-07 · Reparto y compensación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Ledger inmutable con términos de reparto versionados. Reembolso genera movimiento compensatorio, no edición del ingreso original. Verificar QA-MKT-25 a QA-MKT-28.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RE-MKT-08 · Conciliación y disputa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Conciliar orden, pago, derecho y ledger; una diferencia queda en cola con owner. No instalar por simple recibo no validado. Verificar QA-MKT-29 a QA-MKT-32.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ANX-I-V11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ANX-I-V11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