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ANX-J-V11</w:t>
      </w:r>
    </w:p>
    <w:p>
      <w:pPr>
        <w:pStyle w:val="Title"/>
      </w:pPr>
      <w:r>
        <w:t>DMS, almacenamiento, archivo y exportación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Autoridad documental</w:t>
        </w:r>
      </w:hyperlink>
    </w:p>
    <w:p>
      <w:pPr>
        <w:pStyle w:val="Small"/>
      </w:pPr>
      <w:hyperlink w:anchor="s3">
        <w:r>
          <w:rPr>
            <w:color w:val="6639B7"/>
          </w:rPr>
          <w:t>3. Versiones</w:t>
        </w:r>
      </w:hyperlink>
    </w:p>
    <w:p>
      <w:pPr>
        <w:pStyle w:val="Small"/>
      </w:pPr>
      <w:hyperlink w:anchor="s4">
        <w:r>
          <w:rPr>
            <w:color w:val="6639B7"/>
          </w:rPr>
          <w:t>4. Cuotas</w:t>
        </w:r>
      </w:hyperlink>
    </w:p>
    <w:p>
      <w:pPr>
        <w:pStyle w:val="Small"/>
      </w:pPr>
      <w:hyperlink w:anchor="s5">
        <w:r>
          <w:rPr>
            <w:color w:val="6639B7"/>
          </w:rPr>
          <w:t>5. Export Center</w:t>
        </w:r>
      </w:hyperlink>
    </w:p>
    <w:p>
      <w:pPr>
        <w:pStyle w:val="Small"/>
      </w:pPr>
      <w:hyperlink w:anchor="s6">
        <w:r>
          <w:rPr>
            <w:color w:val="6639B7"/>
          </w:rPr>
          <w:t>6. Índice</w:t>
        </w:r>
      </w:hyperlink>
    </w:p>
    <w:p>
      <w:pPr>
        <w:pStyle w:val="Small"/>
      </w:pPr>
      <w:hyperlink w:anchor="s7">
        <w:r>
          <w:rPr>
            <w:color w:val="6639B7"/>
          </w:rPr>
          <w:t>7. Retención</w:t>
        </w:r>
      </w:hyperlink>
    </w:p>
    <w:p>
      <w:pPr>
        <w:pStyle w:val="Small"/>
      </w:pPr>
      <w:hyperlink w:anchor="s8">
        <w:r>
          <w:rPr>
            <w:color w:val="6639B7"/>
          </w:rPr>
          <w:t>8. Archivo avanzado</w:t>
        </w:r>
      </w:hyperlink>
    </w:p>
    <w:p>
      <w:pPr>
        <w:pStyle w:val="Small"/>
      </w:pPr>
      <w:hyperlink w:anchor="s9">
        <w:r>
          <w:rPr>
            <w:color w:val="6639B7"/>
          </w:rPr>
          <w:t>9. Recuperación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N3-MVP0-V11-GOV, N3-MVP0-V11-DOC, N3-MVP4-V11-ENT, N3-MVP4-V11-DR.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Autoridad documental</w:t>
      </w:r>
      <w:bookmarkEnd w:id="2"/>
    </w:p>
    <w:p>
      <w:r>
        <w:t>NEXT conserva originales y versiones; el host conserva referencias de negocio. Un documento vinculado a varias operaciones no debe duplicarse físicamente sin necesidad. Toda vista resuelve autorización vigente antes de mostrar metadata o generar descarga.</w:t>
      </w:r>
    </w:p>
    <w:p>
      <w:bookmarkStart w:id="3" w:name="s3"/>
      <w:pPr>
        <w:pStyle w:val="Heading1"/>
      </w:pPr>
      <w:r>
        <w:t>3. Versiones</w:t>
      </w:r>
      <w:bookmarkEnd w:id="3"/>
    </w:p>
    <w:p>
      <w:r>
        <w:t>Una corrección produce nueva versión o facts versionados con motivo. El original sigue identificable. Las decisiones históricas apuntan a la versión usada; un reemplazo no reescribe retrospectivamente expedientes cerrados.</w:t>
      </w:r>
    </w:p>
    <w:p>
      <w:bookmarkStart w:id="4" w:name="s4"/>
      <w:pPr>
        <w:pStyle w:val="Heading1"/>
      </w:pPr>
      <w:r>
        <w:t>4. Cuotas</w:t>
      </w:r>
      <w:bookmarkEnd w:id="4"/>
    </w:p>
    <w:p>
      <w:r>
        <w:t>Medir originales, versiones, derivados y exportaciones temporales por separado. Alertas y límites son configurables; los porcentajes de referencia requieren aprobación. Alcanzar cuota puede impedir nuevo ingreso, nunca eliminar evidencia obligatoria.</w:t>
      </w:r>
    </w:p>
    <w:p>
      <w:bookmarkStart w:id="5" w:name="s5"/>
      <w:pPr>
        <w:pStyle w:val="Heading1"/>
      </w:pPr>
      <w:r>
        <w:t>5. Export Center</w:t>
      </w:r>
      <w:bookmarkEnd w:id="5"/>
    </w:p>
    <w:p>
      <w:r>
        <w:t>El solicitante elige filtros de negocio autorizados; el job fija el conjunto y genera ZIP con índice y manifiesto de integridad. Mostrar en curso, completo, parcial o fallido; no ocultar faltantes. La descarga temporal vence y se audita.</w:t>
      </w:r>
    </w:p>
    <w:p>
      <w:bookmarkStart w:id="6" w:name="s6"/>
      <w:pPr>
        <w:pStyle w:val="Heading1"/>
      </w:pPr>
      <w:r>
        <w:t>6. Índice</w:t>
      </w:r>
      <w:bookmarkEnd w:id="6"/>
    </w:p>
    <w:p>
      <w:r>
        <w:t>Incluir identificador documental, versión, nombre exportado, tipo, referencia de operación, estado y hash. Evitar colisiones de nombre y traversal de rutas. El hash corresponde a los bytes del archivo entregado, no a una representación distinta.</w:t>
      </w:r>
    </w:p>
    <w:p>
      <w:bookmarkStart w:id="7" w:name="s7"/>
      <w:pPr>
        <w:pStyle w:val="Heading1"/>
      </w:pPr>
      <w:r>
        <w:t>7. Retención</w:t>
      </w:r>
      <w:bookmarkEnd w:id="7"/>
    </w:p>
    <w:p>
      <w:r>
        <w:t>La política combina tipo, fecha de referencia, finalidad y hold. El job identifica candidatos, verifica restricciones en la ejecución y deja evidencia de resultado. Cambiar una política no debe borrar sin revisión lo previamente retenido.</w:t>
      </w:r>
    </w:p>
    <w:p>
      <w:bookmarkStart w:id="8" w:name="s8"/>
      <w:pPr>
        <w:pStyle w:val="Heading1"/>
      </w:pPr>
      <w:r>
        <w:t>8. Archivo avanzado</w:t>
      </w:r>
      <w:bookmarkEnd w:id="8"/>
    </w:p>
    <w:p>
      <w:r>
        <w:t>El estado reporta retención, legal hold y ZIP ya implementados. Capacidades adicionales de clasificación, planes de almacenamiento o archivo avanzado requieren comparar contrato existente y aceptar el incremento; no reconstruir el core como si faltara.</w:t>
      </w:r>
    </w:p>
    <w:p>
      <w:bookmarkStart w:id="9" w:name="s9"/>
      <w:pPr>
        <w:pStyle w:val="Heading1"/>
      </w:pPr>
      <w:r>
        <w:t>9. Recuperación</w:t>
      </w:r>
      <w:bookmarkEnd w:id="9"/>
    </w:p>
    <w:p>
      <w:r>
        <w:t>Restaurar objetos y metadata de un punto coherente y reconciliar referencias. Comprobar hashes, permisos, versiones y exports. Un backup existente no demuestra restauración hasta ejecutar el ejercicio y medir el resultado.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GOV.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GOV;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GOV · DMS, auditoría, KPI y control de costo</w:t>
      </w:r>
    </w:p>
    <w:p>
      <w:r>
        <w:t>CONSERVAR + AJUSTAR integración de procesos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RE-GOV-01 · Original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original inmutable y cadena supersedes. Una corrección de facts no reemplaza los bytes originales ni altera el hash de origen. Verificar QA-GOV-01 a QA-GOV-04.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RE-GOV-02 · Retención y legal hold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Legal hold suspende purga normal. Comprobar hold de nuevo inmediatamente antes del borrado; el vencimiento de export temporal no borra originales. Verificar QA-GOV-05 a QA-GOV-08.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RE-GOV-03 · Exportación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Export incluye índice, manifiesto por archivo y hashes calculados sobre bytes entregados. Revalidar permisos al construir y descargar. Verificar QA-GOV-09 a QA-GOV-12.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RE-GOV-04 · Auditoría útil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mutación sensible exige identidad, instante, recurso y motivo cuando corresponda. Logs técnicos no reemplazan la evidencia funcional. Verificar QA-GOV-13 a QA-GOV-16.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RE-GOV-05 · KPI con población auditable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indicador identifica fórmula, numerador, denominador, filtros y versión. Drill-down devuelve IDs autorizados que explican el agregado. Verificar QA-GOV-17 a QA-GOV-20.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RE-GOV-06 · Tiempo y corrección retrospectiva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Registrar zona, calendario y corte histórico. Recalcular una métrica crea versión de cálculo; no reemplaza silenciosamente el valor previo. Verificar QA-GOV-21 a QA-GOV-24.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RE-GOV-07 · Presupuesto y consumo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Preservar límite mensual por tenant. Reservar o comprobar capacidad de gasto antes de llamadas; evitar doble imputación de un intento confirmado. Verificar QA-GOV-25 a QA-GOV-28.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RE-GOV-08 · Búsqueda y perfiles de columnas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preferencias de columnas por rol/usuario sin ampliar permisos. Buscar por metadata y texto cuando el índice exista; comunicar retraso de indexación. Verificar QA-GOV-29 a QA-GOV-32.</w:t>
            </w:r>
          </w:p>
        </w:tc>
      </w:tr>
    </w:tbl>
    <w:p>
      <w:pPr>
        <w:pStyle w:val="Small"/>
      </w:pPr>
    </w:p>
    <w:p>
      <w:pPr>
        <w:pStyle w:val="Heading2"/>
      </w:pPr>
      <w:r>
        <w:t>DOC · IA Docs: ingesta, extracción y revisión</w:t>
      </w:r>
    </w:p>
    <w:p>
      <w:r>
        <w:t>CONSERVAR + CERTIFICAR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RE-DOC-01 · Ingesta segura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Aceptar sólo archivos dentro de la política de tamaño, con contenido real permitido y antivirus satisfactorio. Un original rechazado no inicia extracción. Los límites son configuración existente a registrar antes de la prueba. Verificar QA-DOC-01 a QA-DOC-04.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RE-DOC-02 · Idempotencia documental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repetición de la misma solicitud dentro del mismo tenant retorna su resultado previo. Un archivo semejante o perteneciente a otro tenant no se deduplica como si fuera el mismo recurso autorizado. Verificar QA-DOC-05 a QA-DOC-08.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RE-DOC-03 · Clasificación y captura genérica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Clasificar sin selección previa entre los tipos activos. Un documento fuera del catálogo conserva texto y facts genéricos; ausencia de tipo no equivale a documento vacío. Verificar QA-DOC-09 a QA-DOC-12.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RE-DOC-04 · Extracción multiproveedor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Gemini es el proveedor reportado y DeepSeek el respaldo. Registrar proveedor usado y separar indisponibilidad de baja confianza. El fallback respeta política de datos y presupuesto. Verificar QA-DOC-13 a QA-DOC-16.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RE-DOC-05 · Umbrales y reglas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política determina qué campos críticos necesitan revisión. Para QA usar umbral sintético 0,90; no declarar ese valor como umbral vigente del producto. Una regla sensible prevalece sobre la confianza. Verificar QA-DOC-17 a QA-DOC-20.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RE-DOC-06 · Corrección concurrente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Toda corrección requiere permiso, motivo y versión leída. Un segundo revisor no puede sobrescribir silenciosamente una corrección posterior. La evidencia original se conserva. Verificar QA-DOC-21 a QA-DOC-24.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RE-DOC-07 · Aprendizaje y tipos nuevos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corrección alimenta evidencia de aprendizaje; no autoriza publicar automáticamente reglas, prompts o tipos. Registrar el candidato y aplicar aprobación/regresión al activar una nueva configuración. Verificar QA-DOC-25 a QA-DOC-28.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RE-DOC-08 · Certificación del recorrido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cierre requiere evidencia del navegador y documentos reales autorizados. Las 247 pruebas reportadas son una línea de partida, no un resultado ejecutado en esta V11. Verificar QA-DOC-29 a QA-DOC-32.</w:t>
            </w:r>
          </w:p>
        </w:tc>
      </w:tr>
    </w:tbl>
    <w:p>
      <w:pPr>
        <w:pStyle w:val="Small"/>
      </w:pPr>
    </w:p>
    <w:p>
      <w:pPr>
        <w:pStyle w:val="Heading2"/>
      </w:pPr>
      <w:r>
        <w:t>ENT · Gobierno e integración enterprise</w:t>
      </w:r>
    </w:p>
    <w:p>
      <w:r>
        <w:t>CONSTRUIR bajo demanda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RE-ENT-01 · Perfil contractual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Definir requisitos antes de diseñar despliegue; sin contrato de objetivos no prometer SLA ni residencia específica. Verificar QA-ENT-01 a QA-ENT-04.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RE-ENT-02 · Residencia integral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Residencia incluye originales, derivados, índices, logs sensibles y backups; política se aplica también a proveedores IA. Verificar QA-ENT-05 a QA-ENT-08.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RE-ENT-03 · SSO enterprise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Mapear grupos a roles gobernados sin confiar en grupos arbitrarios; mantener revocación y administrador de emergencia controlado. Verificar QA-ENT-09 a QA-ENT-12.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RE-ENT-04 · Acceso de emergencia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Acceso excepcional tiene motivo, TTL y revisión posterior; no cuenta compartida sin trazabilidad. Verificar QA-ENT-13 a QA-ENT-16.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RE-ENT-05 · Conectividad privada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Validar origen y autorización funcional; red privada no sustituye tenant/rol. Failover mantiene restricciones. Verificar QA-ENT-17 a QA-ENT-20.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RE-ENT-06 · Gobierno de datos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Aplicar retención, export y hold al perfil sin debilitar obligaciones superiores; resolver conflictos explícitamente. Verificar QA-ENT-21 a QA-ENT-24.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RE-ENT-07 · FinOps enterprise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Imputar costos y cuotas por servicio/tenant sin mezclar presupuestos; dashboards explican períodos y fuentes. Verificar QA-ENT-25 a QA-ENT-28.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RE-ENT-08 · Aceptación verificable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perfil se acepta contra controles ejecutados, no sólo documento de arquitectura. Registrar límites y decisiones contractuales pendientes. Verificar QA-ENT-29 a QA-ENT-32.</w:t>
            </w:r>
          </w:p>
        </w:tc>
      </w:tr>
    </w:tbl>
    <w:p>
      <w:pPr>
        <w:pStyle w:val="Small"/>
      </w:pPr>
    </w:p>
    <w:p>
      <w:pPr>
        <w:pStyle w:val="Heading2"/>
      </w:pPr>
      <w:r>
        <w:t>DR · Continuidad, capacidad y recuperación</w:t>
      </w:r>
    </w:p>
    <w:p>
      <w:r>
        <w:t>CONSTRUIR y ENSAYAR sobre operación existente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RE-DR-01 · Objetivos medibles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Acordar RPO/RTO antes del ejercicio; medir recuperación real y pérdida máxima con reloj y corte documentados. Verificar QA-DR-01 a QA-DR-04.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RE-DR-02 · Backup consistente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Respaldar objetos y referencias de DB en corte compatible; incluir configuración necesaria y procedimiento de acceso a secretos sin copiarlos al documento. Verificar QA-DR-05 a QA-DR-08.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RE-DR-03 · Orden de recuperación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Restaurar identidad, datos y objetos antes de habilitar workers y tráfico. Evitar procesamiento con dependencias parciales. Verificar QA-DR-09 a QA-DR-12.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RE-DR-04 · Reconciliación de eventos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Comparar outbox, entregas y efectos antes de replay. No generar IDs nuevos para eventos ya confirmados. Verificar QA-DR-13 a QA-DR-16.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RE-DR-05 · Failover y residencia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Conmutar sólo a topología autorizada y ensayada; evitar dos escritores no coordinados y pérdida de autorización. Verificar QA-DR-17 a QA-DR-20.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RE-DR-06 · Capacidad y degradación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Definir umbrales a partir de mediciones; aplicar cuotas y backpressure conservando solicitudes aceptadas. Verificar QA-DR-21 a QA-DR-24.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RE-DR-07 · Ejercicio y evidencia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Registrar restore real, pruebas DOC/IAM/WFL/GOV y resultados de integridad. Simular sobre entorno aislado. Verificar QA-DR-25 a QA-DR-28.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RE-DR-08 · Cierre de incidente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Cerrar cuando servicio, integridad y backlog estén reconciliados; registrar acciones preventivas y owners. Verificar QA-DR-29 a QA-DR-32.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ANX-J-V11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ANX-J-V11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