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ANX-L-V11</w:t>
      </w:r>
    </w:p>
    <w:p>
      <w:pPr>
        <w:pStyle w:val="Title"/>
      </w:pPr>
      <w:r>
        <w:t>Baseline, gates y gestión de cierre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Precedencia</w:t>
        </w:r>
      </w:hyperlink>
    </w:p>
    <w:p>
      <w:pPr>
        <w:pStyle w:val="Small"/>
      </w:pPr>
      <w:hyperlink w:anchor="s3">
        <w:r>
          <w:rPr>
            <w:color w:val="6639B7"/>
          </w:rPr>
          <w:t>3. G-DEMO</w:t>
        </w:r>
      </w:hyperlink>
    </w:p>
    <w:p>
      <w:pPr>
        <w:pStyle w:val="Small"/>
      </w:pPr>
      <w:hyperlink w:anchor="s4">
        <w:r>
          <w:rPr>
            <w:color w:val="6639B7"/>
          </w:rPr>
          <w:t>4. Pruebas reportadas</w:t>
        </w:r>
      </w:hyperlink>
    </w:p>
    <w:p>
      <w:pPr>
        <w:pStyle w:val="Small"/>
      </w:pPr>
      <w:hyperlink w:anchor="s5">
        <w:r>
          <w:rPr>
            <w:color w:val="6639B7"/>
          </w:rPr>
          <w:t>5. Entorno obligatorio</w:t>
        </w:r>
      </w:hyperlink>
    </w:p>
    <w:p>
      <w:pPr>
        <w:pStyle w:val="Small"/>
      </w:pPr>
      <w:hyperlink w:anchor="s6">
        <w:r>
          <w:rPr>
            <w:color w:val="6639B7"/>
          </w:rPr>
          <w:t>6. MVP0 comercial ampliado</w:t>
        </w:r>
      </w:hyperlink>
    </w:p>
    <w:p>
      <w:pPr>
        <w:pStyle w:val="Small"/>
      </w:pPr>
      <w:hyperlink w:anchor="s7">
        <w:r>
          <w:rPr>
            <w:color w:val="6639B7"/>
          </w:rPr>
          <w:t>7. Plan de trabajo</w:t>
        </w:r>
      </w:hyperlink>
    </w:p>
    <w:p>
      <w:pPr>
        <w:pStyle w:val="Small"/>
      </w:pPr>
      <w:hyperlink w:anchor="s8">
        <w:r>
          <w:rPr>
            <w:color w:val="6639B7"/>
          </w:rPr>
          <w:t>8. Estimación</w:t>
        </w:r>
      </w:hyperlink>
    </w:p>
    <w:p>
      <w:pPr>
        <w:pStyle w:val="Small"/>
      </w:pPr>
      <w:hyperlink w:anchor="s9">
        <w:r>
          <w:rPr>
            <w:color w:val="6639B7"/>
          </w:rPr>
          <w:t>9. Acta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Plan E00–E29 y gates</w:t>
        </w:r>
      </w:hyperlink>
    </w:p>
    <w:p>
      <w:pPr>
        <w:pStyle w:val="Small"/>
      </w:pPr>
      <w:hyperlink w:anchor="s13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N3-MVP0-V11-REL, N3-MVP0-V11-DOC, N3-MVP0-V11-IAM, N3-MVP0-V11-WFL. Los anexos no adelantan el roadmap ni acreditan pruebas. Las decisiones del N0 y los criterios N3 gobiernan el cierre.</w:t>
      </w:r>
    </w:p>
    <w:p>
      <w:r>
        <w:t>Línea de partida al 05/09/2026: IA Docs está construido según estado reportado, con 247 pruebas (73 unitarias y 174 de integración), 13 controladores, 40 entidades y 20 migraciones. No se ejecutaron esas pruebas ni se inspeccionó el repositorio al preparar esta documentación. Certificación visual, corpus real, rotación de secreto y carga siguen pendientes de evidencia.</w:t>
      </w:r>
    </w:p>
    <w:p>
      <w:bookmarkStart w:id="2" w:name="s2"/>
      <w:pPr>
        <w:pStyle w:val="Heading1"/>
      </w:pPr>
      <w:r>
        <w:t>2. Precedencia</w:t>
      </w:r>
      <w:bookmarkEnd w:id="2"/>
    </w:p>
    <w:p>
      <w:r>
        <w:t>El estado de MVP0 fechado 05/09/2026 gobierna lo reportado como implementado. N0-V11-CIERRE-MVP0 define certificación y brechas. N1/N2/N3 describen objetivo futuro. Ante discrepancia, registrar decisión explícita sin convertir alcance en evidencia.</w:t>
      </w:r>
    </w:p>
    <w:p>
      <w:bookmarkStart w:id="3" w:name="s3"/>
      <w:pPr>
        <w:pStyle w:val="Heading1"/>
      </w:pPr>
      <w:r>
        <w:t>3. G-DEMO</w:t>
      </w:r>
      <w:bookmarkEnd w:id="3"/>
    </w:p>
    <w:p>
      <w:r>
        <w:t>Certificar login, upload, clasificación, extracción, excepciones, revisión, auditoría, captura genérica y export en navegador con documentos autorizados. Rotar clave Gemini y revocar anterior. Confirmar nueva pantalla de tipos; resolver defectos bloqueantes antes de demo.</w:t>
      </w:r>
    </w:p>
    <w:p>
      <w:bookmarkStart w:id="4" w:name="s4"/>
      <w:pPr>
        <w:pStyle w:val="Heading1"/>
      </w:pPr>
      <w:r>
        <w:t>4. Pruebas reportadas</w:t>
      </w:r>
      <w:bookmarkEnd w:id="4"/>
    </w:p>
    <w:p>
      <w:r>
        <w:t>Se informan 247 pruebas: 73 unitarias y 174 de integración, 17 escenarios, 13 controladores, 40 entidades y 20 migraciones. V11 no ejecutó esas pruebas ni inspeccionó código. La suite UI automatizada y prueba de carga no se consideran realizadas.</w:t>
      </w:r>
    </w:p>
    <w:p>
      <w:bookmarkStart w:id="5" w:name="s5"/>
      <w:pPr>
        <w:pStyle w:val="Heading1"/>
      </w:pPr>
      <w:r>
        <w:t>5. Entorno obligatorio</w:t>
      </w:r>
      <w:bookmarkEnd w:id="5"/>
    </w:p>
    <w:p>
      <w:r>
        <w:t>Usar infraestructura real requerida y NEXTDOCS_PRUEBA_OBLIGATORIA=true para evitar verde por skips. Registrar versiones, build, configuración no secreta, corpus y resultados. Si falta infraestructura, el gate falla o queda no evaluado.</w:t>
      </w:r>
    </w:p>
    <w:p>
      <w:bookmarkStart w:id="6" w:name="s6"/>
      <w:pPr>
        <w:pStyle w:val="Heading1"/>
      </w:pPr>
      <w:r>
        <w:t>6. MVP0 comercial ampliado</w:t>
      </w:r>
      <w:bookmarkEnd w:id="6"/>
    </w:p>
    <w:p>
      <w:r>
        <w:t>Workflow, Studio guiado, terceros, Supervisor v0 y COMEX son incremento a construir. El documento fuente los sitúa en Etapa 2; V11 propone agruparlos como MVP0 comercial ampliado manteniendo G-DEMO independiente. Producto debe ratificar ese baseline antes de comprometer fecha.</w:t>
      </w:r>
    </w:p>
    <w:p>
      <w:bookmarkStart w:id="7" w:name="s7"/>
      <w:pPr>
        <w:pStyle w:val="Heading1"/>
      </w:pPr>
      <w:r>
        <w:t>7. Plan de trabajo</w:t>
      </w:r>
      <w:bookmarkEnd w:id="7"/>
    </w:p>
    <w:p>
      <w:r>
        <w:t>Restaurar E00 a E29 con dependencias y gates. El orden permite certificar el core antes de terminar el incremento comercial. Cada epic deriva historias HU por módulo; no usar el nombre de una epic como único criterio de aceptación.</w:t>
      </w:r>
    </w:p>
    <w:p>
      <w:bookmarkStart w:id="8" w:name="s8"/>
      <w:pPr>
        <w:pStyle w:val="Heading1"/>
      </w:pPr>
      <w:r>
        <w:t>8. Estimación</w:t>
      </w:r>
      <w:bookmarkEnd w:id="8"/>
    </w:p>
    <w:p>
      <w:r>
        <w:t>CTO estima después de revisar código, deuda, contratos, migraciones y entorno. Registrar incertidumbre y supuestos; no inventar jornadas exactas sin esa revisión. La secuencia propuesta es dependencia funcional, no compromiso de calendario.</w:t>
      </w:r>
    </w:p>
    <w:p>
      <w:bookmarkStart w:id="9" w:name="s9"/>
      <w:pPr>
        <w:pStyle w:val="Heading1"/>
      </w:pPr>
      <w:r>
        <w:t>9. Acta</w:t>
      </w:r>
      <w:bookmarkEnd w:id="9"/>
    </w:p>
    <w:p>
      <w:r>
        <w:t>El acta registra candidato, entorno, gates, casos ejecutados, resultados, defectos, riesgos aceptados y responsables. El estado inicial es pendiente. La aprobación sólo se firma después de evidencia de ejecución y de operación recuperable.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REL.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REL;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REL · Certificación, regresión y release</w:t>
      </w:r>
    </w:p>
    <w:p>
      <w:r>
        <w:t>CERTIFICAR; CONSTRUIR QA UI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RE-REL-01 · Infraestructura obligatoria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Ejecutar integración con NEXTDOCS_PRUEBA_OBLIGATORIA=true. PostgreSQL, Redis, MinIO y Keycloak deben estar disponibles; omitir pruebas no cuenta como éxito. Verificar QA-REL-01 a QA-REL-04.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RE-REL-02 · Regresión del core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73 unitarias y 174 de integración reportadas como inventario inicial, verificando el conteo real en repo. Agregar pruebas no autoriza perder cobertura existente. Verificar QA-REL-05 a QA-REL-08.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RE-REL-03 · Recorrido humano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Antes de demo ejecutar login, carga, tipo, visor, corrección, excepción y dashboard. Repetir específicamente captura genérica. Verificar QA-REL-09 a QA-REL-12.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RE-REL-04 · Corpus real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Procesar 10–15 documentos autorizados para primera prueba; no extrapolar a precisión industrial. Gold corpus de release tiene etiquetas revisadas y métricas por tipo/campo. Verificar QA-REL-13 a QA-REL-16.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RE-REL-05 · Secretos y acceso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Rotar la clave Gemini antes de datos cliente; registrar evidencia de revocación y funcionamiento sin guardar valor. Revisar también que los artefactos de UI no contengan secretos. Verificar QA-REL-17 a QA-REL-20.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RE-REL-06 · Carga y resiliencia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se conoce la capacidad productiva. Registrar perfil acordado antes de medir; el gate exige cero pérdidas/duplicados y comparar latencia con objetivo aprobado. Verificar QA-REL-21 a QA-REL-24.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RE-REL-07 · Dos hitos distintos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G-DEMO certifica sólo IA Docs existente. 0H requiere Workflow, Studio, Supervisor, terceros y COMEX probados además del core. No exigir módulos nuevos para validar demo documental. Verificar QA-REL-25 a QA-REL-28.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RE-REL-08 · Despliegue y rollback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build, migraciones compatibles, backup, observabilidad y reversa. El rollback de app no implica borrar datos ni revertir migraciones destructivas sin plan. Verificar QA-REL-29 a QA-REL-32.</w:t>
            </w:r>
          </w:p>
        </w:tc>
      </w:tr>
    </w:tbl>
    <w:p>
      <w:pPr>
        <w:pStyle w:val="Small"/>
      </w:pPr>
    </w:p>
    <w:p>
      <w:pPr>
        <w:pStyle w:val="Heading2"/>
      </w:pPr>
      <w:r>
        <w:t>DOC · IA Docs: ingesta, extracción y revisión</w:t>
      </w:r>
    </w:p>
    <w:p>
      <w:r>
        <w:t>CONSERVAR + CERTIFICAR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RE-DOC-01 · Ingesta segura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 Verificar QA-DOC-01 a QA-DOC-04.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RE-DOC-02 · Idempotencia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 Verificar QA-DOC-05 a QA-DOC-08.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RE-DOC-03 · Clasificación y captura genérica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 Verificar QA-DOC-09 a QA-DOC-12.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RE-DOC-04 · Extracción multiproveedor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 Verificar QA-DOC-13 a QA-DOC-16.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RE-DOC-05 · Umbrales y reglas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 Verificar QA-DOC-17 a QA-DOC-20.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RE-DOC-06 · Corrección concurrente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 Verificar QA-DOC-21 a QA-DOC-24.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RE-DOC-07 · Aprendizaje y tipos nuevos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 Verificar QA-DOC-25 a QA-DOC-28.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RE-DOC-08 · Certificación del recorrido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 Verificar QA-DOC-29 a QA-DOC-32.</w:t>
            </w:r>
          </w:p>
        </w:tc>
      </w:tr>
    </w:tbl>
    <w:p>
      <w:pPr>
        <w:pStyle w:val="Small"/>
      </w:pPr>
    </w:p>
    <w:p>
      <w:pPr>
        <w:pStyle w:val="Heading2"/>
      </w:pPr>
      <w:r>
        <w:t>IAM · Identidad, tenancy y colaboración externa</w:t>
      </w:r>
    </w:p>
    <w:p>
      <w:r>
        <w:t>CONSERVAR IAM/SSO; CONSTRUIR delegación y tareas externas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RE-IAM-01 · Aislamiento efectivo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 Verificar QA-IAM-01 a QA-IAM-04.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RE-IAM-02 · SSO y contexto host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 Verificar QA-IAM-05 a QA-IAM-08.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RE-IAM-03 · Delegación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 Verificar QA-IAM-09 a QA-IAM-12.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RE-IAM-04 · Acción externa de propósito único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 Verificar QA-IAM-13 a QA-IAM-16.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RE-IAM-05 · Revocación y consumo atómico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 Verificar QA-IAM-17 a QA-IAM-20.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RE-IAM-06 · Mínimo privilegio visible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 Verificar QA-IAM-21 a QA-IAM-24.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RE-IAM-07 · Invitación y reemisión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 Verificar QA-IAM-25 a QA-IAM-28.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RE-IAM-08 · Sesión y seguridad de navegador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 Verificar QA-IAM-29 a QA-IAM-32.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RE-WFL-01 · Inicio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 Verificar QA-WFL-01 a QA-WFL-04.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RE-WFL-02 · Catálogo de nodos acotado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 Verificar QA-WFL-05 a QA-WFL-08.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RE-WFL-03 · Activaciones idempotentes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 Verificar QA-WFL-09 a QA-WFL-12.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RE-WFL-04 · Dependencias y decisiones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 Verificar QA-WFL-13 a QA-WFL-16.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RE-WFL-05 · Asignación y resultado de tarea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 Verificar QA-WFL-17 a QA-WFL-20.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RE-WFL-06 · SLA y suspensión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 Verificar QA-WFL-21 a QA-WFL-24.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RE-WFL-07 · Finales consistentes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 Verificar QA-WFL-25 a QA-WFL-28.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RE-WFL-08 · Recuperación y evolución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 Verificar QA-WFL-29 a QA-WFL-32.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Plan E00–E29 y gates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100"/>
        <w:gridCol w:w="4000"/>
        <w:gridCol w:w="2260"/>
      </w:tblGrid>
      <w:tr>
        <w:trPr>
          <w:cantSplit/>
          <w:tblHeader/>
        </w:trPr>
        <w:tc>
          <w:tcPr>
            <w:tcW w:type="dxa" w:w="3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Epic / MVP</w:t>
            </w:r>
          </w:p>
        </w:tc>
        <w:tc>
          <w:tcPr>
            <w:tcW w:type="dxa" w:w="4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/ módulos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 / gate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E00 / MVP0 · Baseline y gobierno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Alcance, estados reportados y responsables conciliados; REL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— / 0A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E01 / MVP0 · Certificación IA Docs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Navegador, captura genérica, corpus y seguridad con evidencia; DOC,REL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E00 / G-DEMO / 0G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E02 / MVP0 · Schema de proceso/template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Definición versionada y validación de grafo; STU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E00 / 0B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E03 / MVP0 · Dominio Workflow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Entidades y persistencia con concurrencia e historia; WFL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E02 / 0B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E04 / MVP0 · Runtime Workflow Core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Instancias, tareas, condiciones, SLA y replay probado; WFL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E03 / 0C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E05 / MVP0 · Studio guiado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Crear/fork/adaptar/probar/publicar desde interfaz; STU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E02,E04 / 0D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E06 / MVP0 · Actores internos y externos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Acciones externas con scope, TTL y revocación; IAM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E03 / 0D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E07 / MVP0 · Partner Foundation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Grants, ownership y provenance sin privilegios implícitos; IAM,STU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E02,E03 / 0B/0D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E08 / MVP0 · Supervisor v0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Completitud, confianza, consistencia y SLA con políticas; SUP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E04,DOC / 0E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E09 / MVP0 · COMEX: catorce bases y overlays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Registro, composición y fixtures de cada base; COM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E02,E04,E08 / 0F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E10 / MVP0 · Contexto y conector Follow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Mapping y readiness idempotentes con contrato probado; COM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E09 / 0F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E11 / MVP0 · KPI operativo de procesos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Población, fórmulas y drill-down auditables; GOV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E04,E08 / 0H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E12 / MVP0 · Seguridad y aislamiento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Core preservado y nuevas rutas autorizadas; IAM,REL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E03,E06,E07 / 0G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E13 / MVP0 · Rendimiento y resiliencia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Carga medida, cero pérdida/duplicación y observabilidad; REL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E04,E08 / 0G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E14 / MVP0 · Release comercial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Demo de proceso, rollback, soporte y aprobación de salida; REL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E01–E13 / 0H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E15 / MVP1 · Process Canvas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Equivalencia con schema guiado; CAN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E02,E05 / 1A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E16 / MVP1 · Partner Workspace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Multi-cliente por grants y aceptación cliente; PAR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E07 / 1B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E17 / MVP1 · Email/WhatsApp por adapters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Reincorporación explícita; no restauración automática; CHN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E04,E06 / 1C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E18 / MVP1 · Firma por adapter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Hash, identidad, callback y evidencia controlados; CHN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E04,E06 / 1C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E19 / MVP1 · Schema Studio avanzado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Versionado y compatibilidad de schemas; CAN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DOC,E15 / 1D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E20 / MVP1 · Archive/Export y experiencia ampliada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Lifecycle, búsqueda y móvil sin pérdida de permisos; GOV,CHN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GOV,E15 / 1D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E21 / MVP2 · Catálogo Marketplace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Oferta pública/privada autorizada; MKT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E07,E16 / 2A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E22 / MVP2 · Certificación publisher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Versión exacta certificada con pruebas; MKT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E21 / 2A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E23 / MVP2 · Licencias, precios y checkout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Orden, pago y entitlement conciliados; MKT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E21,E22 / 2B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E24 / MVP2 · Revenue share y liquidación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Ledger y compensaciones reproducibles; MKT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E23 / 2C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E25 / MVP2 · Updates y compatibilidad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Upgrade, fork, migración y rollback explícitos; UPG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E21,E23 / 2C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E26 / MVP3 · Sentinel y dependencias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Diff de facts, edges y evaluación mínima; SEN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E08 / 3A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E27 / MVP3 · Simulation Lab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Sin efectos productivos; regresión por corpus; COP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E26,E15 / 3B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E28 / MVP3 · Process Copilot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SOP a propuesta con evidencia y aprobación; COP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E27 / 3C</w:t>
            </w:r>
          </w:p>
        </w:tc>
      </w:tr>
      <w:tr>
        <w:trPr>
          <w:cantSplit/>
        </w:trPr>
        <w:tc>
          <w:tcPr>
            <w:tcW w:type="dxa" w:w="3100"/>
            <w:vAlign w:val="top"/>
          </w:tcPr>
          <w:p>
            <w:pPr>
              <w:pStyle w:val="TableText"/>
            </w:pPr>
            <w:r>
              <w:t>E29 / MVP4 · Despliegue enterprise</w:t>
            </w:r>
          </w:p>
        </w:tc>
        <w:tc>
          <w:tcPr>
            <w:tcW w:type="dxa" w:w="4000"/>
            <w:vAlign w:val="top"/>
          </w:tcPr>
          <w:p>
            <w:pPr>
              <w:pStyle w:val="TableText"/>
            </w:pPr>
            <w:r>
              <w:t>Residencia, identidad, capacidad y recuperación medidas; ENT,DR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Demanda validada + REL / 4A</w:t>
            </w:r>
          </w:p>
        </w:tc>
      </w:tr>
    </w:tbl>
    <w:p>
      <w:pPr>
        <w:pStyle w:val="Small"/>
      </w:pPr>
    </w:p>
    <w:p>
      <w:bookmarkStart w:id="13" w:name="s13"/>
      <w:pPr>
        <w:pStyle w:val="Heading1"/>
      </w:pPr>
      <w:r>
        <w:t>Cierre y responsables</w:t>
      </w:r>
      <w:bookmarkEnd w:id="13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p>
      <w:pPr>
        <w:pStyle w:val="Heading1"/>
      </w:pPr>
      <w:r>
        <w:t>Workstreams WS-01–WS-11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3460"/>
        <w:gridCol w:w="210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3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épicas</w:t>
            </w:r>
          </w:p>
        </w:tc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WS-01 · Baseline y gobierno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REL / E00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0A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WS-02 · Domain Model Workflow/Template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WFL,STU / E02,E03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0B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WS-03 · Partner Foundation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IAM,STU / E07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0B/0D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WS-04 · Runtime Workflow Core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WFL / E04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0C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WS-05 · Studio guiado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STU / E05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0D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WS-06 · Colaboración interna/externa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IAM,WFL / E06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0D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WS-07 · IA Supervisora v0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SUP / E08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0E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WS-08 · COMEX y Follow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COM / E09,E10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0F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WS-09 · KPI y operación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GOV / E11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0F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WS-10 · QA, seguridad y rendimiento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REL,DOC,IAM / E01,E12,E13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G-DEMO/0G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WS-11 · Release comercial</w:t>
            </w:r>
          </w:p>
        </w:tc>
        <w:tc>
          <w:tcPr>
            <w:tcW w:type="dxa" w:w="3460"/>
            <w:vAlign w:val="top"/>
          </w:tcPr>
          <w:p>
            <w:pPr>
              <w:pStyle w:val="TableText"/>
            </w:pPr>
            <w:r>
              <w:t>REL / E14</w:t>
            </w:r>
          </w:p>
        </w:tc>
        <w:tc>
          <w:tcPr>
            <w:tcW w:type="dxa" w:w="2100"/>
            <w:vAlign w:val="top"/>
          </w:tcPr>
          <w:p>
            <w:pPr>
              <w:pStyle w:val="TableText"/>
            </w:pPr>
            <w:r>
              <w:t>0H</w:t>
            </w:r>
          </w:p>
        </w:tc>
      </w:tr>
    </w:tbl>
    <w:p>
      <w:pPr>
        <w:pStyle w:val="Small"/>
      </w:pPr>
    </w:p>
    <w:p>
      <w:r>
        <w:t>Cada workstream organiza responsables y dependencias; no duplica las historias HU ni reemplaza sus criterios. El responsable nominal se asigna en Jira antes de Ready. G-DEMO puede cerrarse independientemente del incremento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ANX-L-V11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ANX-L-V11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